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93537" w14:textId="06B895F5" w:rsidR="00591902" w:rsidRPr="00C016DB" w:rsidRDefault="00591902" w:rsidP="00591902">
      <w:pPr>
        <w:jc w:val="both"/>
        <w:rPr>
          <w:rFonts w:ascii="Arial" w:hAnsi="Arial" w:cs="Arial"/>
          <w:sz w:val="22"/>
          <w:szCs w:val="22"/>
        </w:rPr>
      </w:pPr>
      <w:r w:rsidRPr="00C016DB">
        <w:rPr>
          <w:rFonts w:ascii="Arial" w:hAnsi="Arial" w:cs="Arial"/>
          <w:b/>
          <w:bCs/>
          <w:sz w:val="22"/>
          <w:szCs w:val="22"/>
        </w:rPr>
        <w:t>Supervisors:</w:t>
      </w:r>
      <w:r w:rsidRPr="00C016DB">
        <w:rPr>
          <w:rFonts w:ascii="Arial" w:hAnsi="Arial" w:cs="Arial"/>
          <w:sz w:val="22"/>
          <w:szCs w:val="22"/>
        </w:rPr>
        <w:t xml:space="preserve"> </w:t>
      </w:r>
    </w:p>
    <w:p w14:paraId="439A1509" w14:textId="77777777" w:rsidR="00591902" w:rsidRPr="00C016DB" w:rsidRDefault="00591902" w:rsidP="00591902">
      <w:pPr>
        <w:rPr>
          <w:rFonts w:ascii="Arial" w:hAnsi="Arial" w:cs="Arial"/>
          <w:bCs/>
          <w:sz w:val="22"/>
          <w:szCs w:val="22"/>
        </w:rPr>
      </w:pPr>
    </w:p>
    <w:p w14:paraId="4DFB4F14" w14:textId="5AA69474" w:rsidR="00591902" w:rsidRPr="00C016DB" w:rsidRDefault="00591902" w:rsidP="00591902">
      <w:pPr>
        <w:rPr>
          <w:rFonts w:ascii="Arial" w:hAnsi="Arial" w:cs="Arial"/>
          <w:bCs/>
          <w:sz w:val="22"/>
          <w:szCs w:val="22"/>
        </w:rPr>
      </w:pPr>
      <w:r w:rsidRPr="00C016DB">
        <w:rPr>
          <w:rFonts w:ascii="Arial" w:hAnsi="Arial" w:cs="Arial"/>
          <w:bCs/>
          <w:sz w:val="22"/>
          <w:szCs w:val="22"/>
        </w:rPr>
        <w:t>Prof Matthias Merkenschlager</w:t>
      </w:r>
    </w:p>
    <w:p w14:paraId="3D1592C6" w14:textId="77777777" w:rsidR="00591902" w:rsidRPr="00C016DB" w:rsidRDefault="00591902" w:rsidP="00591902">
      <w:pPr>
        <w:rPr>
          <w:rFonts w:ascii="Arial" w:hAnsi="Arial" w:cs="Arial"/>
          <w:bCs/>
          <w:sz w:val="22"/>
          <w:szCs w:val="22"/>
        </w:rPr>
      </w:pPr>
      <w:r w:rsidRPr="00C016DB">
        <w:rPr>
          <w:rFonts w:ascii="Arial" w:hAnsi="Arial" w:cs="Arial"/>
          <w:bCs/>
          <w:sz w:val="22"/>
          <w:szCs w:val="22"/>
        </w:rPr>
        <w:t>Institution/Department: MRC Laboratory of Medical Science</w:t>
      </w:r>
    </w:p>
    <w:p w14:paraId="7FAC8DF8" w14:textId="77777777" w:rsidR="00591902" w:rsidRPr="00C016DB" w:rsidRDefault="00591902" w:rsidP="00591902">
      <w:pPr>
        <w:rPr>
          <w:rFonts w:ascii="Arial" w:hAnsi="Arial" w:cs="Arial"/>
          <w:bCs/>
          <w:sz w:val="22"/>
          <w:szCs w:val="22"/>
        </w:rPr>
      </w:pPr>
      <w:r w:rsidRPr="00C016DB">
        <w:rPr>
          <w:rFonts w:ascii="Arial" w:hAnsi="Arial" w:cs="Arial"/>
          <w:bCs/>
          <w:sz w:val="22"/>
          <w:szCs w:val="22"/>
        </w:rPr>
        <w:t>Imperial College London</w:t>
      </w:r>
    </w:p>
    <w:p w14:paraId="0A4A133A" w14:textId="77777777" w:rsidR="00591902" w:rsidRPr="00C016DB" w:rsidRDefault="00591902">
      <w:pPr>
        <w:rPr>
          <w:rFonts w:ascii="Arial" w:hAnsi="Arial" w:cs="Arial"/>
          <w:b/>
          <w:bCs/>
          <w:sz w:val="22"/>
          <w:szCs w:val="22"/>
        </w:rPr>
      </w:pPr>
    </w:p>
    <w:p w14:paraId="4C89789B" w14:textId="63A72029" w:rsidR="00F77445" w:rsidRPr="00C016DB" w:rsidRDefault="00F77445" w:rsidP="00F77445">
      <w:pPr>
        <w:rPr>
          <w:rFonts w:ascii="Arial" w:hAnsi="Arial" w:cs="Arial"/>
          <w:bCs/>
          <w:sz w:val="22"/>
          <w:szCs w:val="22"/>
        </w:rPr>
      </w:pPr>
      <w:r w:rsidRPr="00C016DB">
        <w:rPr>
          <w:rFonts w:ascii="Arial" w:hAnsi="Arial" w:cs="Arial"/>
          <w:bCs/>
          <w:sz w:val="22"/>
          <w:szCs w:val="22"/>
        </w:rPr>
        <w:t>Dr Lila Allou</w:t>
      </w:r>
    </w:p>
    <w:p w14:paraId="50E4BFA1" w14:textId="77777777" w:rsidR="00F77445" w:rsidRPr="00C016DB" w:rsidRDefault="00F77445" w:rsidP="00F77445">
      <w:pPr>
        <w:rPr>
          <w:rFonts w:ascii="Arial" w:hAnsi="Arial" w:cs="Arial"/>
          <w:bCs/>
          <w:sz w:val="22"/>
          <w:szCs w:val="22"/>
        </w:rPr>
      </w:pPr>
      <w:r w:rsidRPr="00C016DB">
        <w:rPr>
          <w:rFonts w:ascii="Arial" w:hAnsi="Arial" w:cs="Arial"/>
          <w:bCs/>
          <w:sz w:val="22"/>
          <w:szCs w:val="22"/>
        </w:rPr>
        <w:t>Institution/Department: MRC Laboratory of Medical Science</w:t>
      </w:r>
    </w:p>
    <w:p w14:paraId="72985DD9" w14:textId="77777777" w:rsidR="00F77445" w:rsidRPr="00C016DB" w:rsidRDefault="00F77445" w:rsidP="00F77445">
      <w:pPr>
        <w:rPr>
          <w:rFonts w:ascii="Arial" w:hAnsi="Arial" w:cs="Arial"/>
          <w:bCs/>
          <w:sz w:val="22"/>
          <w:szCs w:val="22"/>
        </w:rPr>
      </w:pPr>
      <w:r w:rsidRPr="00C016DB">
        <w:rPr>
          <w:rFonts w:ascii="Arial" w:hAnsi="Arial" w:cs="Arial"/>
          <w:bCs/>
          <w:sz w:val="22"/>
          <w:szCs w:val="22"/>
        </w:rPr>
        <w:t>Imperial College London</w:t>
      </w:r>
    </w:p>
    <w:p w14:paraId="1CABF6B9" w14:textId="77777777" w:rsidR="00591902" w:rsidRPr="00C016DB" w:rsidRDefault="00591902">
      <w:pPr>
        <w:rPr>
          <w:rFonts w:ascii="Arial" w:hAnsi="Arial" w:cs="Arial"/>
          <w:b/>
          <w:bCs/>
          <w:sz w:val="22"/>
          <w:szCs w:val="22"/>
        </w:rPr>
      </w:pPr>
    </w:p>
    <w:p w14:paraId="1E4E494A" w14:textId="58CAE507" w:rsidR="0060060B" w:rsidRPr="00C016DB" w:rsidRDefault="00591902">
      <w:pPr>
        <w:rPr>
          <w:rFonts w:ascii="Arial" w:hAnsi="Arial" w:cs="Arial"/>
          <w:b/>
          <w:bCs/>
          <w:sz w:val="22"/>
          <w:szCs w:val="22"/>
        </w:rPr>
      </w:pPr>
      <w:r w:rsidRPr="00C016DB">
        <w:rPr>
          <w:rFonts w:ascii="Arial" w:hAnsi="Arial" w:cs="Arial"/>
          <w:b/>
          <w:bCs/>
          <w:sz w:val="22"/>
          <w:szCs w:val="22"/>
        </w:rPr>
        <w:t xml:space="preserve">Project Title: </w:t>
      </w:r>
      <w:r w:rsidR="0060060B" w:rsidRPr="00C016DB">
        <w:rPr>
          <w:rFonts w:ascii="Arial" w:hAnsi="Arial" w:cs="Arial"/>
          <w:b/>
          <w:bCs/>
          <w:sz w:val="22"/>
          <w:szCs w:val="22"/>
        </w:rPr>
        <w:t>The Double-edged Sword of Sex-specific Immune Responsiveness</w:t>
      </w:r>
    </w:p>
    <w:p w14:paraId="0A8A1D6A" w14:textId="77777777" w:rsidR="0060060B" w:rsidRPr="00C016DB" w:rsidRDefault="0060060B">
      <w:pPr>
        <w:rPr>
          <w:rFonts w:ascii="Arial" w:hAnsi="Arial" w:cs="Arial"/>
          <w:sz w:val="22"/>
          <w:szCs w:val="22"/>
        </w:rPr>
      </w:pPr>
    </w:p>
    <w:p w14:paraId="5C47339C" w14:textId="28D62CBF" w:rsidR="00CA74BE" w:rsidRPr="00C016DB" w:rsidRDefault="00CA74BE" w:rsidP="00C016DB">
      <w:pPr>
        <w:jc w:val="both"/>
        <w:rPr>
          <w:rFonts w:ascii="Arial" w:hAnsi="Arial" w:cs="Arial"/>
          <w:sz w:val="22"/>
          <w:szCs w:val="22"/>
        </w:rPr>
      </w:pPr>
      <w:r w:rsidRPr="00C016DB">
        <w:rPr>
          <w:rFonts w:ascii="Arial" w:hAnsi="Arial" w:cs="Arial"/>
          <w:color w:val="000000" w:themeColor="text1"/>
          <w:sz w:val="22"/>
          <w:szCs w:val="22"/>
        </w:rPr>
        <w:t xml:space="preserve">Female individuals are better able to cope with certain infections. On the other hand, females suffer from autoimmune diseases </w:t>
      </w:r>
      <w:r w:rsidRPr="00C016DB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>significantly more often than males</w:t>
      </w:r>
      <w:r w:rsidR="00F77445" w:rsidRPr="00C016DB">
        <w:rPr>
          <w:rFonts w:ascii="Arial" w:hAnsi="Arial" w:cs="Arial"/>
          <w:color w:val="FF0000"/>
          <w:sz w:val="22"/>
          <w:szCs w:val="22"/>
          <w:vertAlign w:val="superscript"/>
        </w:rPr>
        <w:t>1</w:t>
      </w:r>
      <w:r w:rsidRPr="00C016DB"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. This project explores the mechanistic basis of this important difference between the sexes. </w:t>
      </w:r>
    </w:p>
    <w:p w14:paraId="144D128F" w14:textId="77777777" w:rsidR="0060060B" w:rsidRPr="00C016DB" w:rsidRDefault="0060060B" w:rsidP="00C016DB">
      <w:pPr>
        <w:jc w:val="both"/>
        <w:rPr>
          <w:rFonts w:ascii="Arial" w:hAnsi="Arial" w:cs="Arial"/>
          <w:sz w:val="22"/>
          <w:szCs w:val="22"/>
        </w:rPr>
      </w:pPr>
    </w:p>
    <w:p w14:paraId="0E47549F" w14:textId="00913ADD" w:rsidR="00802ECB" w:rsidRPr="00C016DB" w:rsidRDefault="0060060B" w:rsidP="00C016D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016DB">
        <w:rPr>
          <w:rFonts w:ascii="Arial" w:hAnsi="Arial" w:cs="Arial"/>
          <w:color w:val="000000" w:themeColor="text1"/>
          <w:sz w:val="22"/>
          <w:szCs w:val="22"/>
        </w:rPr>
        <w:t>Toll-like receptors (TLRs) form an important first-line defence against infectious disease. They are evolutionarily ancient patter</w:t>
      </w:r>
      <w:r w:rsidR="00591902" w:rsidRPr="00C016DB">
        <w:rPr>
          <w:rFonts w:ascii="Arial" w:hAnsi="Arial" w:cs="Arial"/>
          <w:color w:val="000000" w:themeColor="text1"/>
          <w:sz w:val="22"/>
          <w:szCs w:val="22"/>
        </w:rPr>
        <w:t>n</w:t>
      </w:r>
      <w:r w:rsidRPr="00C016DB">
        <w:rPr>
          <w:rFonts w:ascii="Arial" w:hAnsi="Arial" w:cs="Arial"/>
          <w:color w:val="000000" w:themeColor="text1"/>
          <w:sz w:val="22"/>
          <w:szCs w:val="22"/>
        </w:rPr>
        <w:t xml:space="preserve"> recognition receptors that sense various signs of infections and trigger innate and adaptive immune responses. </w:t>
      </w:r>
      <w:r w:rsidR="00802ECB" w:rsidRPr="00C016DB">
        <w:rPr>
          <w:rFonts w:ascii="Arial" w:hAnsi="Arial" w:cs="Arial"/>
          <w:color w:val="000000" w:themeColor="text1"/>
          <w:sz w:val="22"/>
          <w:szCs w:val="22"/>
        </w:rPr>
        <w:t xml:space="preserve">The nucleic-acid sensors TLR7 and TLR8 and </w:t>
      </w:r>
      <w:r w:rsidR="00D63A3B" w:rsidRPr="00C016DB">
        <w:rPr>
          <w:rFonts w:ascii="Arial" w:hAnsi="Arial" w:cs="Arial"/>
          <w:color w:val="000000" w:themeColor="text1"/>
          <w:sz w:val="22"/>
          <w:szCs w:val="22"/>
        </w:rPr>
        <w:t xml:space="preserve">numerous </w:t>
      </w:r>
      <w:r w:rsidR="00802ECB" w:rsidRPr="00C016DB">
        <w:rPr>
          <w:rFonts w:ascii="Arial" w:hAnsi="Arial" w:cs="Arial"/>
          <w:color w:val="000000" w:themeColor="text1"/>
          <w:sz w:val="22"/>
          <w:szCs w:val="22"/>
        </w:rPr>
        <w:t xml:space="preserve">other immune </w:t>
      </w:r>
      <w:r w:rsidR="00D63A3B" w:rsidRPr="00C016DB">
        <w:rPr>
          <w:rFonts w:ascii="Arial" w:hAnsi="Arial" w:cs="Arial"/>
          <w:color w:val="000000" w:themeColor="text1"/>
          <w:sz w:val="22"/>
          <w:szCs w:val="22"/>
        </w:rPr>
        <w:t>genes</w:t>
      </w:r>
      <w:r w:rsidR="00802ECB" w:rsidRPr="00C016DB">
        <w:rPr>
          <w:rFonts w:ascii="Arial" w:hAnsi="Arial" w:cs="Arial"/>
          <w:color w:val="000000" w:themeColor="text1"/>
          <w:sz w:val="22"/>
          <w:szCs w:val="22"/>
        </w:rPr>
        <w:t xml:space="preserve"> are encoded on the human X chromosome and are therefore present at twice the gene dosage in XX females compared to XY males. This increased gene dosage is thought to contribute </w:t>
      </w:r>
      <w:r w:rsidRPr="00C016DB">
        <w:rPr>
          <w:rFonts w:ascii="Arial" w:hAnsi="Arial" w:cs="Arial"/>
          <w:color w:val="000000" w:themeColor="text1"/>
          <w:sz w:val="22"/>
          <w:szCs w:val="22"/>
        </w:rPr>
        <w:t>to sex-specific differences in immune responses</w:t>
      </w:r>
      <w:r w:rsidR="00F77445" w:rsidRPr="00C016DB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CA74BE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D63A3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One particularly interesting aspect is how the epigenetic regulation of X-linked genes intersects with environmental signals (gene-environment interactions)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00D63A3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age-related inflammation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 and clonal dynamics of immune cells</w:t>
      </w:r>
      <w:r w:rsidR="00D63A3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to modulate the sex-specific incidence of clinical disease manifestation</w:t>
      </w:r>
      <w:r w:rsidR="00CA74BE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007116D6" w:rsidRPr="00C016DB">
        <w:rPr>
          <w:rFonts w:ascii="Arial" w:hAnsi="Arial" w:cs="Arial"/>
          <w:color w:val="000000" w:themeColor="text1"/>
          <w:sz w:val="22"/>
          <w:szCs w:val="22"/>
        </w:rPr>
        <w:t xml:space="preserve">To this end, we </w:t>
      </w:r>
      <w:r w:rsidR="00802ECB" w:rsidRPr="00C016DB">
        <w:rPr>
          <w:rFonts w:ascii="Arial" w:hAnsi="Arial" w:cs="Arial"/>
          <w:color w:val="000000" w:themeColor="text1"/>
          <w:sz w:val="22"/>
          <w:szCs w:val="22"/>
        </w:rPr>
        <w:t xml:space="preserve">will explore </w:t>
      </w:r>
      <w:r w:rsidR="00802EC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sex differences in TLR7/8 ligands, receptors, signal transduction pathways and downstream effector genes.</w:t>
      </w:r>
    </w:p>
    <w:p w14:paraId="7AA1952A" w14:textId="77777777" w:rsidR="0071627C" w:rsidRPr="00C016DB" w:rsidRDefault="0071627C" w:rsidP="00C016DB">
      <w:pPr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18F2B640" w14:textId="181807A2" w:rsidR="00EF6B7D" w:rsidRPr="00C016DB" w:rsidRDefault="000D2C8B" w:rsidP="00C016DB">
      <w:pPr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XX female immune cells - such as </w:t>
      </w:r>
      <w:r w:rsidR="005E2B4A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plasmacytoid dendritic cells and B cells,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-</w:t>
      </w:r>
      <w:r w:rsidR="005E2B4A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express higher levels of TLR7 than XY male immune cells</w:t>
      </w:r>
      <w:r w:rsidR="00F77445" w:rsidRPr="00C016DB">
        <w:rPr>
          <w:rFonts w:ascii="Arial" w:hAnsi="Arial" w:cs="Arial"/>
          <w:color w:val="000000" w:themeColor="text1"/>
          <w:sz w:val="22"/>
          <w:szCs w:val="22"/>
          <w:vertAlign w:val="superscript"/>
        </w:rPr>
        <w:t>2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00CA74BE" w:rsidRPr="00C016DB">
        <w:rPr>
          <w:rFonts w:ascii="Arial" w:hAnsi="Arial" w:cs="Arial"/>
          <w:color w:val="000000" w:themeColor="text1"/>
          <w:sz w:val="22"/>
          <w:szCs w:val="22"/>
        </w:rPr>
        <w:t xml:space="preserve"> The increased prevalence of inflammatory disease in XX individuals is thought to be driven by higher levels of immune gene expression in females than in males</w:t>
      </w:r>
      <w:r w:rsidR="00C016DB" w:rsidRPr="00C016DB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1,3,4</w:t>
      </w:r>
      <w:r w:rsidR="0071627C" w:rsidRPr="00C016DB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B cells with higher expression of TLR7 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have a lower activation threshold. Once activated, they are known to proliferate more and survive better. They undergo increase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immunoglobulin class switching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,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form more memory B cells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, 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differentiate more efficiently into antibody-secreting plasma cells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ultimately are more likely to cause inflammation and autoimmunity, such as systemic Lupus erythematosus</w:t>
      </w:r>
      <w:r w:rsidR="00F77445" w:rsidRPr="00C016DB">
        <w:rPr>
          <w:rFonts w:ascii="Arial" w:hAnsi="Arial" w:cs="Arial"/>
          <w:color w:val="000000" w:themeColor="text1"/>
          <w:sz w:val="22"/>
          <w:szCs w:val="22"/>
          <w:vertAlign w:val="superscript"/>
        </w:rPr>
        <w:t>3,4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(SLE).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will address 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whether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elevated expression of TLR7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 XX cells is explained by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active gene regulation 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or by</w:t>
      </w:r>
      <w:r w:rsidR="0071627C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passive erosion of X-linked silencing mechanisms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Active regulation </w:t>
      </w:r>
      <w:r w:rsidR="00C016D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ould drive increased expression from the active X chromosome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Erosion of gene silencing on the inactive X chromosome </w:t>
      </w:r>
      <w:r w:rsidR="00C016D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ould drive increased expression from the inactive X chromosome</w:t>
      </w:r>
      <w:r w:rsidR="00C016D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007116D6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will use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long-read sequencing and employ </w:t>
      </w:r>
      <w:r w:rsidR="00EF6B7D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genetic polymorphisms to </w:t>
      </w:r>
      <w:r w:rsidR="00C016D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distinguish between these possibilities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8BBC454" w14:textId="77777777" w:rsidR="007116D6" w:rsidRPr="00C016DB" w:rsidRDefault="007116D6" w:rsidP="00C016DB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0498BDB3" w14:textId="725D84CF" w:rsidR="007116D6" w:rsidRPr="00C016DB" w:rsidRDefault="007116D6" w:rsidP="00C016DB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will integrate the sex-specific expression level of TLRs, with other key factors that ultimately determine disease susceptibility such as the ab</w:t>
      </w:r>
      <w:r w:rsidR="00C016DB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ndance of TLR ligands, the activity of TLR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signaling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pathways, antagonism between TLRs, and effector genes downstream of TLR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signaling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 Finally, we will explore how the TLR pathway intersects with genetic variation and BCR specificity to shape the competitiveness of B cell clones</w:t>
      </w:r>
      <w:r w:rsidR="00400CD8" w:rsidRPr="00C016DB">
        <w:rPr>
          <w:rFonts w:ascii="Arial" w:hAnsi="Arial" w:cs="Arial"/>
          <w:color w:val="000000" w:themeColor="text1"/>
          <w:sz w:val="22"/>
          <w:szCs w:val="22"/>
          <w:vertAlign w:val="superscript"/>
        </w:rPr>
        <w:t>5,6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 Taken together, these approaches will address mechanisms that contribute to increase</w:t>
      </w:r>
      <w:r w:rsid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inflammatory responses in female individuals. </w:t>
      </w:r>
    </w:p>
    <w:p w14:paraId="4138DB56" w14:textId="77777777" w:rsidR="007116D6" w:rsidRPr="00C016DB" w:rsidRDefault="007116D6" w:rsidP="00125708">
      <w:pPr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39E92D1F" w14:textId="1F24E3E2" w:rsidR="007116D6" w:rsidRPr="004271E9" w:rsidRDefault="00F77445" w:rsidP="00125708">
      <w:pPr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4271E9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References</w:t>
      </w:r>
    </w:p>
    <w:p w14:paraId="71D5FF4A" w14:textId="77777777" w:rsidR="00F77445" w:rsidRPr="00C016DB" w:rsidRDefault="00F77445" w:rsidP="00125708">
      <w:pPr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760DDE87" w14:textId="67DC463D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1. Margery-Muir, A. A.,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Bundell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, C., Nelson, D.,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Groth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, D. M. &amp; Wetherall, J. D. Gender balance in patients with systemic lupus erythematosus.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Autoimmun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Rev. 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2017;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16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258–68 </w:t>
      </w:r>
    </w:p>
    <w:p w14:paraId="0D1EE00D" w14:textId="77777777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748601B3" w14:textId="1E459CC8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2.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Souyris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, M. et al. TLR7 escapes X chromosome inactivation in immune cells. Sci. Immunol. 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2018;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3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eaap8855, </w:t>
      </w:r>
    </w:p>
    <w:p w14:paraId="53FC2BF5" w14:textId="77777777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24F83CFA" w14:textId="144161D6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3. </w:t>
      </w:r>
      <w:proofErr w:type="spellStart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Pisitkun</w:t>
      </w:r>
      <w:proofErr w:type="spellEnd"/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, P. et al. Autoreactive B cell responses to RNA-related antigens due to TLR7 gene duplication. Science 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2006; 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312</w:t>
      </w:r>
      <w:r w:rsidR="00400CD8"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1669–72</w:t>
      </w:r>
    </w:p>
    <w:p w14:paraId="6248183D" w14:textId="77777777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02D6B8B3" w14:textId="2B53134E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4. Brown GJ, et al. TLR7 gain-of-function genetic variation causes human lupus. Nature. 2022; 605: 349-56. </w:t>
      </w:r>
    </w:p>
    <w:p w14:paraId="02786B05" w14:textId="77777777" w:rsidR="00F77445" w:rsidRPr="00C016DB" w:rsidRDefault="00F77445" w:rsidP="00F77445">
      <w:pP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2641A058" w14:textId="6E0D86D5" w:rsidR="00C016DB" w:rsidRPr="00C016DB" w:rsidRDefault="00F77445" w:rsidP="00C016DB">
      <w:pPr>
        <w:tabs>
          <w:tab w:val="left" w:pos="426"/>
        </w:tabs>
        <w:rPr>
          <w:rFonts w:ascii="Arial" w:hAnsi="Arial" w:cs="Arial"/>
          <w:color w:val="000000" w:themeColor="text1"/>
          <w:sz w:val="22"/>
          <w:szCs w:val="22"/>
        </w:rPr>
      </w:pPr>
      <w:r w:rsidRPr="00C016DB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5. </w:t>
      </w:r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 xml:space="preserve">Buenaventura T, </w:t>
      </w:r>
      <w:proofErr w:type="spellStart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>Bagci</w:t>
      </w:r>
      <w:proofErr w:type="spellEnd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 xml:space="preserve"> H, Patrascan I, Graham JJ, </w:t>
      </w:r>
      <w:proofErr w:type="spellStart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>Hipwell</w:t>
      </w:r>
      <w:proofErr w:type="spellEnd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 xml:space="preserve"> KD, </w:t>
      </w:r>
      <w:proofErr w:type="spellStart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>Oldenkamp</w:t>
      </w:r>
      <w:proofErr w:type="spellEnd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 xml:space="preserve"> R, King JWD, Urtasun J, Young G, </w:t>
      </w:r>
      <w:proofErr w:type="spellStart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>Mouzo</w:t>
      </w:r>
      <w:proofErr w:type="spellEnd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 xml:space="preserve"> D, Gomez-</w:t>
      </w:r>
      <w:proofErr w:type="spellStart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>Cabrero</w:t>
      </w:r>
      <w:proofErr w:type="spellEnd"/>
      <w:r w:rsidR="00C016DB" w:rsidRPr="00C016DB">
        <w:rPr>
          <w:rFonts w:ascii="Arial" w:hAnsi="Arial" w:cs="Arial"/>
          <w:color w:val="000000" w:themeColor="text1"/>
          <w:sz w:val="22"/>
          <w:szCs w:val="22"/>
        </w:rPr>
        <w:t xml:space="preserve"> D, Rowland BD, Panne D, Fisher AG, Merkenschlager M. Competition shapes the landscape of X-chromosome-linked genetic diversity. Nat Genet. 2024; 56: 1678-88. </w:t>
      </w:r>
    </w:p>
    <w:p w14:paraId="77369BBF" w14:textId="77777777" w:rsidR="00C016DB" w:rsidRPr="00C016DB" w:rsidRDefault="00C016DB" w:rsidP="00C016DB">
      <w:pPr>
        <w:tabs>
          <w:tab w:val="left" w:pos="426"/>
        </w:tabs>
        <w:rPr>
          <w:rFonts w:ascii="Arial" w:hAnsi="Arial" w:cs="Arial"/>
          <w:color w:val="000000" w:themeColor="text1"/>
          <w:sz w:val="22"/>
          <w:szCs w:val="22"/>
        </w:rPr>
      </w:pPr>
    </w:p>
    <w:p w14:paraId="3EB10551" w14:textId="062126A6" w:rsidR="00C016DB" w:rsidRPr="00C016DB" w:rsidRDefault="00C016DB" w:rsidP="00C016DB">
      <w:pPr>
        <w:tabs>
          <w:tab w:val="left" w:pos="426"/>
        </w:tabs>
        <w:rPr>
          <w:rFonts w:ascii="Arial" w:hAnsi="Arial" w:cs="Arial"/>
          <w:color w:val="000000" w:themeColor="text1"/>
          <w:sz w:val="22"/>
          <w:szCs w:val="22"/>
        </w:rPr>
      </w:pPr>
      <w:r w:rsidRPr="00C016DB">
        <w:rPr>
          <w:rFonts w:ascii="Arial" w:hAnsi="Arial" w:cs="Arial"/>
          <w:color w:val="000000" w:themeColor="text1"/>
          <w:sz w:val="22"/>
          <w:szCs w:val="22"/>
        </w:rPr>
        <w:t xml:space="preserve">6. Boone P, Buenaventura T, King JWD, Merkenschlager M. X-linked competition - implications for human development and disease. Nat. Rev. Genetics 2025; 26: 571-80. </w:t>
      </w:r>
    </w:p>
    <w:p w14:paraId="7B8DDA01" w14:textId="77777777" w:rsidR="004B483A" w:rsidRPr="00C016DB" w:rsidRDefault="004B483A" w:rsidP="00125708">
      <w:pPr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en-GB"/>
          <w14:ligatures w14:val="none"/>
        </w:rPr>
      </w:pPr>
    </w:p>
    <w:p w14:paraId="571187AC" w14:textId="20068B4B" w:rsidR="00802ECB" w:rsidRPr="00C016DB" w:rsidRDefault="00802ECB" w:rsidP="00802ECB">
      <w:pPr>
        <w:rPr>
          <w:rFonts w:ascii="Arial" w:hAnsi="Arial" w:cs="Arial"/>
          <w:sz w:val="22"/>
          <w:szCs w:val="22"/>
        </w:rPr>
      </w:pPr>
    </w:p>
    <w:sectPr w:rsidR="00802ECB" w:rsidRPr="00C016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80"/>
    <w:rsid w:val="00017433"/>
    <w:rsid w:val="000610C1"/>
    <w:rsid w:val="000D2C8B"/>
    <w:rsid w:val="00125708"/>
    <w:rsid w:val="00161F25"/>
    <w:rsid w:val="002000EE"/>
    <w:rsid w:val="00202DCA"/>
    <w:rsid w:val="00292122"/>
    <w:rsid w:val="00293E1A"/>
    <w:rsid w:val="00323131"/>
    <w:rsid w:val="003A2DF3"/>
    <w:rsid w:val="003C027C"/>
    <w:rsid w:val="003C47F2"/>
    <w:rsid w:val="003E66B6"/>
    <w:rsid w:val="00400CD8"/>
    <w:rsid w:val="004271E9"/>
    <w:rsid w:val="0048229A"/>
    <w:rsid w:val="00494DB7"/>
    <w:rsid w:val="004B483A"/>
    <w:rsid w:val="004F54FD"/>
    <w:rsid w:val="00512133"/>
    <w:rsid w:val="00531844"/>
    <w:rsid w:val="00563F00"/>
    <w:rsid w:val="00591902"/>
    <w:rsid w:val="005C4642"/>
    <w:rsid w:val="005D0D80"/>
    <w:rsid w:val="005E2B4A"/>
    <w:rsid w:val="0060060B"/>
    <w:rsid w:val="00610133"/>
    <w:rsid w:val="00614523"/>
    <w:rsid w:val="006804D3"/>
    <w:rsid w:val="006F00B1"/>
    <w:rsid w:val="006F7021"/>
    <w:rsid w:val="007116D6"/>
    <w:rsid w:val="0071627C"/>
    <w:rsid w:val="00752050"/>
    <w:rsid w:val="00797EC5"/>
    <w:rsid w:val="00802ECB"/>
    <w:rsid w:val="00835136"/>
    <w:rsid w:val="00866C02"/>
    <w:rsid w:val="0097770A"/>
    <w:rsid w:val="00991E66"/>
    <w:rsid w:val="00B9203A"/>
    <w:rsid w:val="00BD0904"/>
    <w:rsid w:val="00C016DB"/>
    <w:rsid w:val="00C805E3"/>
    <w:rsid w:val="00CA74BE"/>
    <w:rsid w:val="00D63A3B"/>
    <w:rsid w:val="00D95EF1"/>
    <w:rsid w:val="00DD65BE"/>
    <w:rsid w:val="00EE317B"/>
    <w:rsid w:val="00EE709E"/>
    <w:rsid w:val="00EF6B7D"/>
    <w:rsid w:val="00F45045"/>
    <w:rsid w:val="00F77445"/>
    <w:rsid w:val="00F77EEB"/>
    <w:rsid w:val="00FA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13196"/>
  <w15:chartTrackingRefBased/>
  <w15:docId w15:val="{683A412B-E127-2744-AA9D-69C8C577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5BE"/>
  </w:style>
  <w:style w:type="paragraph" w:styleId="Heading1">
    <w:name w:val="heading 1"/>
    <w:basedOn w:val="Normal"/>
    <w:next w:val="Normal"/>
    <w:link w:val="Heading1Char"/>
    <w:uiPriority w:val="9"/>
    <w:qFormat/>
    <w:rsid w:val="005D0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D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D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D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D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D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D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D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D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D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D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2E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ECB"/>
    <w:rPr>
      <w:color w:val="605E5C"/>
      <w:shd w:val="clear" w:color="auto" w:fill="E1DFDD"/>
    </w:rPr>
  </w:style>
  <w:style w:type="paragraph" w:customStyle="1" w:styleId="p1">
    <w:name w:val="p1"/>
    <w:basedOn w:val="Normal"/>
    <w:rsid w:val="003C47F2"/>
    <w:rPr>
      <w:rFonts w:ascii="Arial" w:eastAsia="Times New Roman" w:hAnsi="Arial" w:cs="Arial"/>
      <w:color w:val="18191A"/>
      <w:kern w:val="0"/>
      <w:sz w:val="18"/>
      <w:szCs w:val="1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Merkenschlager, Matthias</dc:creator>
  <cp:keywords/>
  <dc:description/>
  <cp:lastModifiedBy>Marsh, Claire Louise Mayfield</cp:lastModifiedBy>
  <cp:revision>2</cp:revision>
  <dcterms:created xsi:type="dcterms:W3CDTF">2026-10-06T15:03:00Z</dcterms:created>
  <dcterms:modified xsi:type="dcterms:W3CDTF">2026-10-06T15:03:00Z</dcterms:modified>
</cp:coreProperties>
</file>