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D18E2" w14:textId="060A0674" w:rsidR="00C27874" w:rsidRDefault="00CF45F1" w:rsidP="001B115D">
      <w:pPr>
        <w:jc w:val="both"/>
        <w:rPr>
          <w:rFonts w:ascii="Times New Roman" w:hAnsi="Times New Roman" w:cs="Times New Roman"/>
        </w:rPr>
      </w:pPr>
      <w:r w:rsidRPr="005145AE">
        <w:rPr>
          <w:rFonts w:ascii="Times New Roman" w:hAnsi="Times New Roman" w:cs="Times New Roman"/>
          <w:b/>
          <w:bCs/>
        </w:rPr>
        <w:t>Supervisors</w:t>
      </w:r>
      <w:r w:rsidR="00BD091F">
        <w:rPr>
          <w:rFonts w:ascii="Times New Roman" w:hAnsi="Times New Roman" w:cs="Times New Roman"/>
          <w:b/>
          <w:bCs/>
        </w:rPr>
        <w:t>:</w:t>
      </w:r>
    </w:p>
    <w:p w14:paraId="70B7E6C2" w14:textId="48ECA964" w:rsidR="00F421C7" w:rsidRDefault="002C0E1D" w:rsidP="001B115D">
      <w:pPr>
        <w:jc w:val="both"/>
        <w:rPr>
          <w:rFonts w:ascii="Times New Roman" w:hAnsi="Times New Roman" w:cs="Times New Roman"/>
          <w:i/>
          <w:iCs/>
        </w:rPr>
      </w:pPr>
      <w:r>
        <w:rPr>
          <w:rFonts w:ascii="Times New Roman" w:hAnsi="Times New Roman" w:cs="Times New Roman"/>
          <w:i/>
          <w:iCs/>
        </w:rPr>
        <w:t xml:space="preserve">Michelle Percharde, MRC LMS &amp; Imperial College London </w:t>
      </w:r>
    </w:p>
    <w:p w14:paraId="0E892E11" w14:textId="3A2B3CAB" w:rsidR="002C0E1D" w:rsidRPr="00F421C7" w:rsidRDefault="002C0E1D" w:rsidP="001B115D">
      <w:pPr>
        <w:jc w:val="both"/>
        <w:rPr>
          <w:rFonts w:ascii="Times New Roman" w:hAnsi="Times New Roman" w:cs="Times New Roman"/>
          <w:i/>
          <w:iCs/>
        </w:rPr>
      </w:pPr>
      <w:r>
        <w:rPr>
          <w:rFonts w:ascii="Times New Roman" w:hAnsi="Times New Roman" w:cs="Times New Roman"/>
          <w:i/>
          <w:iCs/>
        </w:rPr>
        <w:t xml:space="preserve">Co-supervisor: Veronique Azuara, Imperial College London </w:t>
      </w:r>
    </w:p>
    <w:p w14:paraId="13986FA3" w14:textId="7AA51389" w:rsidR="00F421C7" w:rsidRPr="002C0E1D" w:rsidRDefault="0018588F" w:rsidP="001B115D">
      <w:pPr>
        <w:jc w:val="both"/>
        <w:rPr>
          <w:rFonts w:ascii="Times New Roman" w:hAnsi="Times New Roman" w:cs="Times New Roman"/>
          <w:b/>
          <w:bCs/>
        </w:rPr>
      </w:pPr>
      <w:r w:rsidRPr="005145AE">
        <w:rPr>
          <w:rFonts w:ascii="Times New Roman" w:hAnsi="Times New Roman" w:cs="Times New Roman"/>
          <w:b/>
          <w:bCs/>
        </w:rPr>
        <w:t>Project Title:</w:t>
      </w:r>
      <w:r w:rsidR="002C0E1D" w:rsidRPr="002C0E1D">
        <w:rPr>
          <w:rFonts w:ascii="Verdana" w:eastAsia="Times New Roman" w:hAnsi="Verdana" w:cs="Times New Roman"/>
          <w:bCs/>
          <w:sz w:val="24"/>
          <w:szCs w:val="24"/>
          <w:lang w:eastAsia="en-GB"/>
        </w:rPr>
        <w:t xml:space="preserve"> </w:t>
      </w:r>
      <w:r w:rsidR="002C0E1D" w:rsidRPr="002C0E1D">
        <w:rPr>
          <w:rFonts w:ascii="Times New Roman" w:hAnsi="Times New Roman" w:cs="Times New Roman"/>
        </w:rPr>
        <w:t>Pluripotency-specific regulation of transposable elements in mammalian development</w:t>
      </w:r>
    </w:p>
    <w:p w14:paraId="2887BE87" w14:textId="77777777" w:rsidR="002C0E1D" w:rsidRPr="005145AE" w:rsidRDefault="002C0E1D" w:rsidP="001B115D">
      <w:pPr>
        <w:jc w:val="both"/>
        <w:rPr>
          <w:rFonts w:ascii="Times New Roman" w:hAnsi="Times New Roman" w:cs="Times New Roman"/>
        </w:rPr>
      </w:pPr>
    </w:p>
    <w:p w14:paraId="7143931A" w14:textId="1914C289" w:rsidR="00A900D2" w:rsidRDefault="0027399F" w:rsidP="001B115D">
      <w:pPr>
        <w:jc w:val="both"/>
        <w:rPr>
          <w:rFonts w:ascii="Times New Roman" w:hAnsi="Times New Roman" w:cs="Times New Roman"/>
          <w:b/>
          <w:bCs/>
        </w:rPr>
      </w:pPr>
      <w:r w:rsidRPr="005145AE">
        <w:rPr>
          <w:rFonts w:ascii="Times New Roman" w:hAnsi="Times New Roman" w:cs="Times New Roman"/>
          <w:b/>
          <w:bCs/>
        </w:rPr>
        <w:t>Project Description</w:t>
      </w:r>
      <w:r w:rsidR="00BD091F">
        <w:rPr>
          <w:rFonts w:ascii="Times New Roman" w:hAnsi="Times New Roman" w:cs="Times New Roman"/>
          <w:b/>
          <w:bCs/>
        </w:rPr>
        <w:t>:</w:t>
      </w:r>
      <w:r w:rsidR="0018588F" w:rsidRPr="005145AE">
        <w:rPr>
          <w:rFonts w:ascii="Times New Roman" w:hAnsi="Times New Roman" w:cs="Times New Roman"/>
          <w:b/>
          <w:bCs/>
        </w:rPr>
        <w:t xml:space="preserve"> </w:t>
      </w:r>
    </w:p>
    <w:p w14:paraId="25E1E61F" w14:textId="491C8A52" w:rsidR="002C0E1D" w:rsidRPr="002C0E1D" w:rsidRDefault="002C0E1D" w:rsidP="002C0E1D">
      <w:pPr>
        <w:jc w:val="both"/>
        <w:rPr>
          <w:rFonts w:ascii="Verdana" w:hAnsi="Verdana"/>
          <w:i/>
          <w:iCs/>
          <w:sz w:val="20"/>
          <w:szCs w:val="20"/>
        </w:rPr>
      </w:pPr>
      <w:r w:rsidRPr="002C0E1D">
        <w:rPr>
          <w:rFonts w:ascii="Verdana" w:hAnsi="Verdana"/>
          <w:i/>
          <w:iCs/>
          <w:sz w:val="20"/>
          <w:szCs w:val="20"/>
        </w:rPr>
        <w:t xml:space="preserve">In early development, a single fertilized zygote proceeds through a series of cleavage steps to develop into a multicellular blastocyst. The </w:t>
      </w:r>
      <w:r w:rsidR="00F810E6">
        <w:rPr>
          <w:rFonts w:ascii="Verdana" w:hAnsi="Verdana"/>
          <w:i/>
          <w:iCs/>
          <w:sz w:val="20"/>
          <w:szCs w:val="20"/>
        </w:rPr>
        <w:t xml:space="preserve">inner </w:t>
      </w:r>
      <w:r w:rsidRPr="002C0E1D">
        <w:rPr>
          <w:rFonts w:ascii="Verdana" w:hAnsi="Verdana"/>
          <w:i/>
          <w:iCs/>
          <w:sz w:val="20"/>
          <w:szCs w:val="20"/>
        </w:rPr>
        <w:t xml:space="preserve">cells of the blastocyst are capable of generating all adult cell types, called pluripotency. </w:t>
      </w:r>
      <w:proofErr w:type="gramStart"/>
      <w:r w:rsidRPr="002C0E1D">
        <w:rPr>
          <w:rFonts w:ascii="Verdana" w:hAnsi="Verdana"/>
          <w:i/>
          <w:iCs/>
          <w:sz w:val="20"/>
          <w:szCs w:val="20"/>
        </w:rPr>
        <w:t>Moreover</w:t>
      </w:r>
      <w:proofErr w:type="gramEnd"/>
      <w:r w:rsidR="00F810E6">
        <w:rPr>
          <w:rFonts w:ascii="Verdana" w:hAnsi="Verdana"/>
          <w:i/>
          <w:iCs/>
          <w:sz w:val="20"/>
          <w:szCs w:val="20"/>
        </w:rPr>
        <w:t xml:space="preserve"> the embryonic epiblast</w:t>
      </w:r>
      <w:r w:rsidRPr="002C0E1D">
        <w:rPr>
          <w:rFonts w:ascii="Verdana" w:hAnsi="Verdana"/>
          <w:i/>
          <w:iCs/>
          <w:sz w:val="20"/>
          <w:szCs w:val="20"/>
        </w:rPr>
        <w:t xml:space="preserve"> can be cultured in vitro as pluripotent embryonic stem cells (ESCs). ESCs are invaluable tools for understanding development and for regenerative medicine. With 1 in 8 couples experiencing infertility in the UK, it is ever more important to understand the factors contributing to healthy embryo development. Furthermore, developmental pathways important for maintaining an undifferentiated state are often hijacked in diseases such as cancer. </w:t>
      </w:r>
    </w:p>
    <w:p w14:paraId="66460CCD" w14:textId="77777777" w:rsidR="002C0E1D" w:rsidRPr="002C0E1D" w:rsidRDefault="002C0E1D" w:rsidP="002C0E1D">
      <w:pPr>
        <w:jc w:val="both"/>
        <w:rPr>
          <w:rFonts w:ascii="Verdana" w:hAnsi="Verdana"/>
          <w:i/>
          <w:iCs/>
          <w:sz w:val="20"/>
          <w:szCs w:val="20"/>
          <w:u w:val="single"/>
        </w:rPr>
      </w:pPr>
    </w:p>
    <w:p w14:paraId="2865F0A3" w14:textId="0B5E3592" w:rsidR="002C0E1D" w:rsidRPr="002C0E1D" w:rsidRDefault="002C0E1D" w:rsidP="002C0E1D">
      <w:pPr>
        <w:jc w:val="both"/>
        <w:rPr>
          <w:rFonts w:ascii="Verdana" w:hAnsi="Verdana"/>
          <w:i/>
          <w:iCs/>
          <w:sz w:val="20"/>
          <w:szCs w:val="20"/>
        </w:rPr>
      </w:pPr>
      <w:r w:rsidRPr="002C0E1D">
        <w:rPr>
          <w:rFonts w:ascii="Verdana" w:hAnsi="Verdana"/>
          <w:i/>
          <w:iCs/>
          <w:sz w:val="20"/>
          <w:szCs w:val="20"/>
        </w:rPr>
        <w:t xml:space="preserve">The Chromatin and Development (Percharde) lab at the MRC LMS studies the transcriptional and epigenetic reprogramming events that take place in normal </w:t>
      </w:r>
      <w:r>
        <w:rPr>
          <w:rFonts w:ascii="Verdana" w:hAnsi="Verdana"/>
          <w:i/>
          <w:iCs/>
          <w:sz w:val="20"/>
          <w:szCs w:val="20"/>
        </w:rPr>
        <w:t xml:space="preserve">embryo </w:t>
      </w:r>
      <w:r w:rsidRPr="002C0E1D">
        <w:rPr>
          <w:rFonts w:ascii="Verdana" w:hAnsi="Verdana"/>
          <w:i/>
          <w:iCs/>
          <w:sz w:val="20"/>
          <w:szCs w:val="20"/>
        </w:rPr>
        <w:t>development. We particularly focus on chromatin regulation and how this intersects with the regulation of transposable elements (TEs),</w:t>
      </w:r>
      <w:r w:rsidRPr="002C0E1D">
        <w:rPr>
          <w:rFonts w:ascii="Verdana" w:hAnsi="Verdana"/>
          <w:b/>
          <w:i/>
          <w:iCs/>
          <w:sz w:val="20"/>
          <w:szCs w:val="20"/>
        </w:rPr>
        <w:t xml:space="preserve"> </w:t>
      </w:r>
      <w:r w:rsidRPr="002C0E1D">
        <w:rPr>
          <w:rFonts w:ascii="Verdana" w:hAnsi="Verdana"/>
          <w:i/>
          <w:iCs/>
          <w:sz w:val="20"/>
          <w:szCs w:val="20"/>
        </w:rPr>
        <w:t xml:space="preserve">which are mobile parts of our genome that have been greatly understudied. TEs are often associated with pathology, being able to cause DNA damage, inflammation, or mutagenesis when activated in somatic cells or cancer cells (1). However, we have intriguingly found evidence that these transposons are also expressed in normal development (2,3), without triggering immune activation or retrotransposition (4). We have also uncovered new chromatin-based mechanisms by which TEs are regulated in ESCs and embryos (5). Critically, the mechanisms that </w:t>
      </w:r>
      <w:r>
        <w:rPr>
          <w:rFonts w:ascii="Verdana" w:hAnsi="Verdana"/>
          <w:i/>
          <w:iCs/>
          <w:sz w:val="20"/>
          <w:szCs w:val="20"/>
        </w:rPr>
        <w:t>permit</w:t>
      </w:r>
      <w:r w:rsidRPr="002C0E1D">
        <w:rPr>
          <w:rFonts w:ascii="Verdana" w:hAnsi="Verdana"/>
          <w:i/>
          <w:iCs/>
          <w:sz w:val="20"/>
          <w:szCs w:val="20"/>
        </w:rPr>
        <w:t xml:space="preserve"> TE function and co-option </w:t>
      </w:r>
      <w:r>
        <w:rPr>
          <w:rFonts w:ascii="Verdana" w:hAnsi="Verdana"/>
          <w:i/>
          <w:iCs/>
          <w:sz w:val="20"/>
          <w:szCs w:val="20"/>
        </w:rPr>
        <w:t xml:space="preserve">whilst avoiding </w:t>
      </w:r>
      <w:r w:rsidRPr="002C0E1D">
        <w:rPr>
          <w:rFonts w:ascii="Verdana" w:hAnsi="Verdana"/>
          <w:i/>
          <w:iCs/>
          <w:sz w:val="20"/>
          <w:szCs w:val="20"/>
        </w:rPr>
        <w:t>deleterious effects are largely unknown.</w:t>
      </w:r>
    </w:p>
    <w:p w14:paraId="69CD60B9" w14:textId="77777777" w:rsidR="002C0E1D" w:rsidRPr="002C0E1D" w:rsidRDefault="002C0E1D" w:rsidP="002C0E1D">
      <w:pPr>
        <w:jc w:val="both"/>
        <w:rPr>
          <w:rFonts w:ascii="Verdana" w:hAnsi="Verdana"/>
          <w:i/>
          <w:iCs/>
          <w:sz w:val="20"/>
          <w:szCs w:val="20"/>
        </w:rPr>
      </w:pPr>
    </w:p>
    <w:p w14:paraId="15A670F9" w14:textId="18DFD998" w:rsidR="00F421C7" w:rsidRPr="002C0E1D" w:rsidRDefault="002C0E1D" w:rsidP="001B115D">
      <w:pPr>
        <w:jc w:val="both"/>
        <w:rPr>
          <w:rFonts w:ascii="Verdana" w:hAnsi="Verdana"/>
          <w:i/>
          <w:iCs/>
          <w:sz w:val="20"/>
          <w:szCs w:val="20"/>
        </w:rPr>
      </w:pPr>
      <w:r w:rsidRPr="002C0E1D">
        <w:rPr>
          <w:rFonts w:ascii="Verdana" w:hAnsi="Verdana"/>
          <w:i/>
          <w:iCs/>
          <w:sz w:val="20"/>
          <w:szCs w:val="20"/>
        </w:rPr>
        <w:t>In this PhD, the student will investigate the unique relationship between TE activation, immune sensing</w:t>
      </w:r>
      <w:r w:rsidR="00040B0E">
        <w:rPr>
          <w:rFonts w:ascii="Verdana" w:hAnsi="Verdana"/>
          <w:i/>
          <w:iCs/>
          <w:sz w:val="20"/>
          <w:szCs w:val="20"/>
        </w:rPr>
        <w:t xml:space="preserve"> and cell fate </w:t>
      </w:r>
      <w:r w:rsidRPr="002C0E1D">
        <w:rPr>
          <w:rFonts w:ascii="Verdana" w:hAnsi="Verdana"/>
          <w:i/>
          <w:iCs/>
          <w:sz w:val="20"/>
          <w:szCs w:val="20"/>
        </w:rPr>
        <w:t>in early mammalian development. They will follow up on pathway</w:t>
      </w:r>
      <w:r w:rsidR="00040B0E">
        <w:rPr>
          <w:rFonts w:ascii="Verdana" w:hAnsi="Verdana"/>
          <w:i/>
          <w:iCs/>
          <w:sz w:val="20"/>
          <w:szCs w:val="20"/>
        </w:rPr>
        <w:t>s</w:t>
      </w:r>
      <w:r w:rsidRPr="002C0E1D">
        <w:rPr>
          <w:rFonts w:ascii="Verdana" w:hAnsi="Verdana"/>
          <w:i/>
          <w:iCs/>
          <w:sz w:val="20"/>
          <w:szCs w:val="20"/>
        </w:rPr>
        <w:t xml:space="preserve"> that we believe to be important </w:t>
      </w:r>
      <w:r w:rsidR="00040B0E">
        <w:rPr>
          <w:rFonts w:ascii="Verdana" w:hAnsi="Verdana"/>
          <w:i/>
          <w:iCs/>
          <w:sz w:val="20"/>
          <w:szCs w:val="20"/>
        </w:rPr>
        <w:t>in this relationship,</w:t>
      </w:r>
      <w:r w:rsidR="00040B0E" w:rsidRPr="002C0E1D">
        <w:rPr>
          <w:rFonts w:ascii="Verdana" w:hAnsi="Verdana"/>
          <w:i/>
          <w:iCs/>
          <w:sz w:val="20"/>
          <w:szCs w:val="20"/>
        </w:rPr>
        <w:t xml:space="preserve"> and</w:t>
      </w:r>
      <w:r>
        <w:rPr>
          <w:rFonts w:ascii="Verdana" w:hAnsi="Verdana"/>
          <w:i/>
          <w:iCs/>
          <w:sz w:val="20"/>
          <w:szCs w:val="20"/>
        </w:rPr>
        <w:t xml:space="preserve"> may</w:t>
      </w:r>
      <w:r w:rsidRPr="002C0E1D">
        <w:rPr>
          <w:rFonts w:ascii="Verdana" w:hAnsi="Verdana"/>
          <w:i/>
          <w:iCs/>
          <w:sz w:val="20"/>
          <w:szCs w:val="20"/>
        </w:rPr>
        <w:t xml:space="preserve"> develop new approaches </w:t>
      </w:r>
      <w:r w:rsidR="00ED5F28">
        <w:rPr>
          <w:rFonts w:ascii="Verdana" w:hAnsi="Verdana"/>
          <w:i/>
          <w:iCs/>
          <w:sz w:val="20"/>
          <w:szCs w:val="20"/>
        </w:rPr>
        <w:t>to explore the links between TE expression</w:t>
      </w:r>
      <w:r w:rsidR="00040B0E">
        <w:rPr>
          <w:rFonts w:ascii="Verdana" w:hAnsi="Verdana"/>
          <w:i/>
          <w:iCs/>
          <w:sz w:val="20"/>
          <w:szCs w:val="20"/>
        </w:rPr>
        <w:t xml:space="preserve"> </w:t>
      </w:r>
      <w:r w:rsidR="00ED5F28">
        <w:rPr>
          <w:rFonts w:ascii="Verdana" w:hAnsi="Verdana"/>
          <w:i/>
          <w:iCs/>
          <w:sz w:val="20"/>
          <w:szCs w:val="20"/>
        </w:rPr>
        <w:t xml:space="preserve">and </w:t>
      </w:r>
      <w:r w:rsidR="00040B0E">
        <w:rPr>
          <w:rFonts w:ascii="Verdana" w:hAnsi="Verdana"/>
          <w:i/>
          <w:iCs/>
          <w:sz w:val="20"/>
          <w:szCs w:val="20"/>
        </w:rPr>
        <w:t>TE sensing</w:t>
      </w:r>
      <w:r w:rsidRPr="002C0E1D">
        <w:rPr>
          <w:rFonts w:ascii="Verdana" w:hAnsi="Verdana"/>
          <w:i/>
          <w:iCs/>
          <w:sz w:val="20"/>
          <w:szCs w:val="20"/>
        </w:rPr>
        <w:t xml:space="preserve">. The PhD candidate will be able to use a range of mouse/human </w:t>
      </w:r>
      <w:r>
        <w:rPr>
          <w:rFonts w:ascii="Verdana" w:hAnsi="Verdana"/>
          <w:i/>
          <w:iCs/>
          <w:sz w:val="20"/>
          <w:szCs w:val="20"/>
        </w:rPr>
        <w:t>embryonic</w:t>
      </w:r>
      <w:r w:rsidRPr="002C0E1D">
        <w:rPr>
          <w:rFonts w:ascii="Verdana" w:hAnsi="Verdana"/>
          <w:i/>
          <w:iCs/>
          <w:sz w:val="20"/>
          <w:szCs w:val="20"/>
        </w:rPr>
        <w:t xml:space="preserve"> stem cell lines and/or mouse embryology in their project to explore the relationship between chromatin and TE regulation across distinct embryonic and extra-embryonic lineages. They </w:t>
      </w:r>
      <w:r w:rsidR="00040B0E">
        <w:rPr>
          <w:rFonts w:ascii="Verdana" w:hAnsi="Verdana"/>
          <w:i/>
          <w:iCs/>
          <w:sz w:val="20"/>
          <w:szCs w:val="20"/>
        </w:rPr>
        <w:t>may</w:t>
      </w:r>
      <w:r w:rsidRPr="002C0E1D">
        <w:rPr>
          <w:rFonts w:ascii="Verdana" w:hAnsi="Verdana"/>
          <w:i/>
          <w:iCs/>
          <w:sz w:val="20"/>
          <w:szCs w:val="20"/>
        </w:rPr>
        <w:t xml:space="preserve"> employ a combination of candidate and genome-wide approaches, recent </w:t>
      </w:r>
      <w:r w:rsidR="00040B0E">
        <w:rPr>
          <w:rFonts w:ascii="Verdana" w:hAnsi="Verdana"/>
          <w:i/>
          <w:iCs/>
          <w:sz w:val="20"/>
          <w:szCs w:val="20"/>
        </w:rPr>
        <w:t>technologie</w:t>
      </w:r>
      <w:r w:rsidRPr="002C0E1D">
        <w:rPr>
          <w:rFonts w:ascii="Verdana" w:hAnsi="Verdana"/>
          <w:i/>
          <w:iCs/>
          <w:sz w:val="20"/>
          <w:szCs w:val="20"/>
        </w:rPr>
        <w:t xml:space="preserve">s such as spatial transcriptomics, </w:t>
      </w:r>
      <w:proofErr w:type="spellStart"/>
      <w:r w:rsidRPr="002C0E1D">
        <w:rPr>
          <w:rFonts w:ascii="Verdana" w:hAnsi="Verdana"/>
          <w:i/>
          <w:iCs/>
          <w:sz w:val="20"/>
          <w:szCs w:val="20"/>
        </w:rPr>
        <w:t>CRISPRi</w:t>
      </w:r>
      <w:proofErr w:type="spellEnd"/>
      <w:r w:rsidRPr="002C0E1D">
        <w:rPr>
          <w:rFonts w:ascii="Verdana" w:hAnsi="Verdana"/>
          <w:i/>
          <w:iCs/>
          <w:sz w:val="20"/>
          <w:szCs w:val="20"/>
        </w:rPr>
        <w:t>/a, AI-based screening and bioinformatics to investigate novel aspects of TE regulation in development.</w:t>
      </w:r>
      <w:r w:rsidR="00ED5F28">
        <w:rPr>
          <w:rFonts w:ascii="Verdana" w:hAnsi="Verdana"/>
          <w:i/>
          <w:iCs/>
          <w:sz w:val="20"/>
          <w:szCs w:val="20"/>
        </w:rPr>
        <w:t xml:space="preserve"> They will be co-supervised by Dr Veronique Azuara, </w:t>
      </w:r>
      <w:r w:rsidR="00040B0E">
        <w:rPr>
          <w:rFonts w:ascii="Verdana" w:hAnsi="Verdana"/>
          <w:i/>
          <w:iCs/>
          <w:sz w:val="20"/>
          <w:szCs w:val="20"/>
        </w:rPr>
        <w:t xml:space="preserve">an </w:t>
      </w:r>
      <w:r w:rsidR="00ED5F28">
        <w:rPr>
          <w:rFonts w:ascii="Verdana" w:hAnsi="Verdana"/>
          <w:i/>
          <w:iCs/>
          <w:sz w:val="20"/>
          <w:szCs w:val="20"/>
        </w:rPr>
        <w:t xml:space="preserve">expert in early mammalian development, </w:t>
      </w:r>
      <w:r w:rsidR="00040B0E">
        <w:rPr>
          <w:rFonts w:ascii="Verdana" w:hAnsi="Verdana"/>
          <w:i/>
          <w:iCs/>
          <w:sz w:val="20"/>
          <w:szCs w:val="20"/>
        </w:rPr>
        <w:t xml:space="preserve">cell fate, </w:t>
      </w:r>
      <w:r w:rsidR="00ED5F28">
        <w:rPr>
          <w:rFonts w:ascii="Verdana" w:hAnsi="Verdana"/>
          <w:i/>
          <w:iCs/>
          <w:sz w:val="20"/>
          <w:szCs w:val="20"/>
        </w:rPr>
        <w:t>metabolism and epigenetics.</w:t>
      </w:r>
    </w:p>
    <w:p w14:paraId="5284BADF" w14:textId="30135499" w:rsidR="005A4874" w:rsidRDefault="001D0676" w:rsidP="001B115D">
      <w:pPr>
        <w:jc w:val="both"/>
        <w:rPr>
          <w:rFonts w:ascii="Times New Roman" w:hAnsi="Times New Roman" w:cs="Times New Roman"/>
          <w:b/>
          <w:bCs/>
        </w:rPr>
      </w:pPr>
      <w:r w:rsidRPr="005145AE">
        <w:rPr>
          <w:rFonts w:ascii="Times New Roman" w:hAnsi="Times New Roman" w:cs="Times New Roman"/>
          <w:b/>
          <w:bCs/>
        </w:rPr>
        <w:t>References</w:t>
      </w:r>
      <w:r w:rsidR="00BD091F">
        <w:rPr>
          <w:rFonts w:ascii="Times New Roman" w:hAnsi="Times New Roman" w:cs="Times New Roman"/>
          <w:b/>
          <w:bCs/>
        </w:rPr>
        <w:t>:</w:t>
      </w:r>
    </w:p>
    <w:p w14:paraId="75AC0580" w14:textId="16235ADF" w:rsidR="002C0E1D" w:rsidRPr="00040B0E" w:rsidRDefault="002C0E1D" w:rsidP="00040B0E">
      <w:pPr>
        <w:pStyle w:val="ListParagraph"/>
        <w:numPr>
          <w:ilvl w:val="0"/>
          <w:numId w:val="3"/>
        </w:numPr>
        <w:spacing w:after="0" w:line="240" w:lineRule="auto"/>
        <w:rPr>
          <w:rFonts w:ascii="Times New Roman" w:hAnsi="Times New Roman" w:cs="Times New Roman"/>
          <w:i/>
          <w:sz w:val="20"/>
          <w:szCs w:val="20"/>
        </w:rPr>
      </w:pPr>
      <w:r w:rsidRPr="00040B0E">
        <w:rPr>
          <w:rFonts w:ascii="Times New Roman" w:hAnsi="Times New Roman" w:cs="Times New Roman"/>
          <w:i/>
          <w:sz w:val="20"/>
          <w:szCs w:val="20"/>
        </w:rPr>
        <w:t xml:space="preserve">What Doesn't Kill You Makes You Stronger: Transposons as Dual Players in Chromatin Regulation and Genomic Variation. </w:t>
      </w:r>
      <w:r w:rsidRPr="00040B0E">
        <w:rPr>
          <w:rFonts w:ascii="Times New Roman" w:hAnsi="Times New Roman" w:cs="Times New Roman"/>
          <w:b/>
          <w:sz w:val="20"/>
          <w:szCs w:val="20"/>
        </w:rPr>
        <w:t>BIOESSAYS</w:t>
      </w:r>
    </w:p>
    <w:p w14:paraId="546A87CA" w14:textId="35E799BE" w:rsidR="002C0E1D" w:rsidRPr="002C0E1D" w:rsidRDefault="002C0E1D" w:rsidP="00040B0E">
      <w:pPr>
        <w:ind w:firstLine="720"/>
        <w:rPr>
          <w:rFonts w:ascii="Times New Roman" w:hAnsi="Times New Roman" w:cs="Times New Roman"/>
          <w:i/>
          <w:sz w:val="20"/>
          <w:szCs w:val="20"/>
        </w:rPr>
      </w:pPr>
      <w:r w:rsidRPr="002C0E1D">
        <w:rPr>
          <w:rFonts w:ascii="Times New Roman" w:hAnsi="Times New Roman" w:cs="Times New Roman"/>
          <w:b/>
          <w:sz w:val="20"/>
          <w:szCs w:val="20"/>
        </w:rPr>
        <w:t xml:space="preserve">Percharde M, </w:t>
      </w:r>
      <w:r w:rsidRPr="002C0E1D">
        <w:rPr>
          <w:rFonts w:ascii="Times New Roman" w:hAnsi="Times New Roman" w:cs="Times New Roman"/>
          <w:sz w:val="20"/>
          <w:szCs w:val="20"/>
        </w:rPr>
        <w:t xml:space="preserve">Sultana S and Ramalho-Santos M (2020) </w:t>
      </w:r>
      <w:hyperlink r:id="rId5" w:history="1">
        <w:r w:rsidRPr="002C0E1D">
          <w:rPr>
            <w:rStyle w:val="Hyperlink"/>
            <w:rFonts w:ascii="Times New Roman" w:hAnsi="Times New Roman" w:cs="Times New Roman"/>
            <w:i/>
            <w:sz w:val="20"/>
            <w:szCs w:val="20"/>
          </w:rPr>
          <w:t>https://doi.org</w:t>
        </w:r>
        <w:r w:rsidRPr="002C0E1D">
          <w:rPr>
            <w:rStyle w:val="Hyperlink"/>
            <w:rFonts w:ascii="Times New Roman" w:hAnsi="Times New Roman" w:cs="Times New Roman"/>
          </w:rPr>
          <w:t>/</w:t>
        </w:r>
        <w:r w:rsidRPr="002C0E1D">
          <w:rPr>
            <w:rStyle w:val="Hyperlink"/>
            <w:rFonts w:ascii="Times New Roman" w:hAnsi="Times New Roman" w:cs="Times New Roman"/>
            <w:i/>
            <w:sz w:val="20"/>
            <w:szCs w:val="20"/>
          </w:rPr>
          <w:t>10.1002/bies.201900232</w:t>
        </w:r>
      </w:hyperlink>
      <w:r w:rsidRPr="002C0E1D">
        <w:rPr>
          <w:rFonts w:ascii="Times New Roman" w:hAnsi="Times New Roman" w:cs="Times New Roman"/>
          <w:i/>
          <w:sz w:val="20"/>
          <w:szCs w:val="20"/>
        </w:rPr>
        <w:t xml:space="preserve"> </w:t>
      </w:r>
    </w:p>
    <w:p w14:paraId="5BCF29BD" w14:textId="77777777" w:rsidR="002C0E1D" w:rsidRPr="002C0E1D" w:rsidRDefault="002C0E1D" w:rsidP="002C0E1D">
      <w:pPr>
        <w:rPr>
          <w:rFonts w:ascii="Times New Roman" w:hAnsi="Times New Roman" w:cs="Times New Roman"/>
          <w:i/>
          <w:sz w:val="20"/>
          <w:szCs w:val="20"/>
        </w:rPr>
      </w:pPr>
    </w:p>
    <w:p w14:paraId="3581255B" w14:textId="77777777" w:rsidR="002C0E1D" w:rsidRPr="002C0E1D" w:rsidRDefault="002C0E1D" w:rsidP="002C0E1D">
      <w:pPr>
        <w:spacing w:after="0" w:line="240" w:lineRule="auto"/>
        <w:rPr>
          <w:rFonts w:ascii="Times New Roman" w:hAnsi="Times New Roman" w:cs="Times New Roman"/>
          <w:bCs/>
          <w:sz w:val="20"/>
          <w:szCs w:val="20"/>
        </w:rPr>
      </w:pPr>
    </w:p>
    <w:p w14:paraId="0CEA3173" w14:textId="7B29A14C" w:rsidR="002C0E1D" w:rsidRPr="002C0E1D" w:rsidRDefault="002C0E1D" w:rsidP="00040B0E">
      <w:pPr>
        <w:pStyle w:val="p1"/>
        <w:numPr>
          <w:ilvl w:val="0"/>
          <w:numId w:val="3"/>
        </w:numPr>
        <w:rPr>
          <w:i/>
          <w:iCs/>
          <w:sz w:val="20"/>
          <w:szCs w:val="20"/>
        </w:rPr>
      </w:pPr>
      <w:proofErr w:type="spellStart"/>
      <w:r w:rsidRPr="002C0E1D">
        <w:rPr>
          <w:i/>
          <w:iCs/>
          <w:sz w:val="20"/>
          <w:szCs w:val="20"/>
        </w:rPr>
        <w:t>CRISPRa</w:t>
      </w:r>
      <w:proofErr w:type="spellEnd"/>
      <w:r w:rsidRPr="002C0E1D">
        <w:rPr>
          <w:i/>
          <w:iCs/>
          <w:sz w:val="20"/>
          <w:szCs w:val="20"/>
        </w:rPr>
        <w:t>-mediated disentanglement of the Dux-MERVL axis in the 2C-like state, totipotency, and cell death</w:t>
      </w:r>
      <w:r>
        <w:rPr>
          <w:i/>
          <w:iCs/>
          <w:sz w:val="20"/>
          <w:szCs w:val="20"/>
        </w:rPr>
        <w:t xml:space="preserve">. </w:t>
      </w:r>
      <w:r w:rsidRPr="002C0E1D">
        <w:rPr>
          <w:b/>
          <w:bCs/>
          <w:sz w:val="20"/>
          <w:szCs w:val="20"/>
        </w:rPr>
        <w:t>SCIENCE ADVANCES</w:t>
      </w:r>
    </w:p>
    <w:p w14:paraId="0DDD98D6" w14:textId="5431B642" w:rsidR="002C0E1D" w:rsidRPr="002C0E1D" w:rsidRDefault="002C0E1D" w:rsidP="00040B0E">
      <w:pPr>
        <w:spacing w:after="0" w:line="240" w:lineRule="auto"/>
        <w:ind w:left="720"/>
        <w:rPr>
          <w:rFonts w:ascii="Times New Roman" w:hAnsi="Times New Roman" w:cs="Times New Roman"/>
          <w:bCs/>
          <w:sz w:val="20"/>
          <w:szCs w:val="20"/>
        </w:rPr>
      </w:pPr>
      <w:r w:rsidRPr="002C0E1D">
        <w:rPr>
          <w:rFonts w:ascii="Times New Roman" w:hAnsi="Times New Roman" w:cs="Times New Roman"/>
          <w:bCs/>
          <w:sz w:val="20"/>
          <w:szCs w:val="20"/>
        </w:rPr>
        <w:t xml:space="preserve">Chammas P, Xie SQ, Sepulveda-Rincon L, Leeke BJ, Dore MH, Wagner RT, Chang N, Jones PL, McManus MT, Karimi M, Young G and </w:t>
      </w:r>
      <w:r w:rsidRPr="002C0E1D">
        <w:rPr>
          <w:rFonts w:ascii="Times New Roman" w:hAnsi="Times New Roman" w:cs="Times New Roman"/>
          <w:b/>
          <w:sz w:val="20"/>
          <w:szCs w:val="20"/>
        </w:rPr>
        <w:t xml:space="preserve">Percharde M </w:t>
      </w:r>
      <w:r w:rsidRPr="002C0E1D">
        <w:rPr>
          <w:rFonts w:ascii="Times New Roman" w:hAnsi="Times New Roman" w:cs="Times New Roman"/>
          <w:bCs/>
          <w:sz w:val="20"/>
          <w:szCs w:val="20"/>
        </w:rPr>
        <w:t>(2025)</w:t>
      </w:r>
      <w:r>
        <w:rPr>
          <w:rFonts w:ascii="Times New Roman" w:hAnsi="Times New Roman" w:cs="Times New Roman"/>
          <w:bCs/>
          <w:sz w:val="20"/>
          <w:szCs w:val="20"/>
        </w:rPr>
        <w:t xml:space="preserve"> </w:t>
      </w:r>
      <w:hyperlink r:id="rId6" w:history="1">
        <w:r w:rsidRPr="00AA0D63">
          <w:rPr>
            <w:rStyle w:val="Hyperlink"/>
            <w:rFonts w:ascii="Times New Roman" w:hAnsi="Times New Roman" w:cs="Times New Roman"/>
            <w:bCs/>
            <w:sz w:val="20"/>
            <w:szCs w:val="20"/>
          </w:rPr>
          <w:t>https://doi.org/10.1126/sciadv.adu9092</w:t>
        </w:r>
      </w:hyperlink>
      <w:r>
        <w:rPr>
          <w:rFonts w:ascii="Times New Roman" w:hAnsi="Times New Roman" w:cs="Times New Roman"/>
          <w:bCs/>
          <w:sz w:val="20"/>
          <w:szCs w:val="20"/>
        </w:rPr>
        <w:t xml:space="preserve"> </w:t>
      </w:r>
    </w:p>
    <w:p w14:paraId="093D08FC" w14:textId="77777777" w:rsidR="002C0E1D" w:rsidRPr="00040B0E" w:rsidRDefault="002C0E1D" w:rsidP="002C0E1D">
      <w:pPr>
        <w:pStyle w:val="ListParagraph"/>
        <w:ind w:left="360"/>
        <w:rPr>
          <w:rFonts w:ascii="Times New Roman" w:hAnsi="Times New Roman" w:cs="Times New Roman"/>
          <w:b/>
          <w:bCs/>
          <w:sz w:val="20"/>
          <w:szCs w:val="20"/>
        </w:rPr>
      </w:pPr>
    </w:p>
    <w:p w14:paraId="7D2A45E1" w14:textId="1E462532" w:rsidR="002C0E1D" w:rsidRPr="00040B0E" w:rsidRDefault="002C0E1D" w:rsidP="00040B0E">
      <w:pPr>
        <w:pStyle w:val="ListParagraph"/>
        <w:numPr>
          <w:ilvl w:val="0"/>
          <w:numId w:val="3"/>
        </w:numPr>
        <w:spacing w:after="0" w:line="240" w:lineRule="auto"/>
        <w:rPr>
          <w:rFonts w:ascii="Times New Roman" w:hAnsi="Times New Roman" w:cs="Times New Roman"/>
          <w:b/>
          <w:bCs/>
          <w:sz w:val="20"/>
          <w:szCs w:val="20"/>
        </w:rPr>
      </w:pPr>
      <w:r w:rsidRPr="00040B0E">
        <w:rPr>
          <w:rFonts w:ascii="Times New Roman" w:hAnsi="Times New Roman" w:cs="Times New Roman"/>
          <w:i/>
          <w:sz w:val="20"/>
          <w:szCs w:val="20"/>
        </w:rPr>
        <w:t>A LINE1-Nucleolin partnership regulates early development and ESC identity.</w:t>
      </w:r>
      <w:r w:rsidRPr="00040B0E">
        <w:rPr>
          <w:rFonts w:ascii="Times New Roman" w:hAnsi="Times New Roman" w:cs="Times New Roman"/>
          <w:sz w:val="20"/>
          <w:szCs w:val="20"/>
        </w:rPr>
        <w:t> </w:t>
      </w:r>
      <w:r w:rsidRPr="00040B0E">
        <w:rPr>
          <w:rFonts w:ascii="Times New Roman" w:hAnsi="Times New Roman" w:cs="Times New Roman"/>
          <w:b/>
          <w:bCs/>
          <w:sz w:val="20"/>
          <w:szCs w:val="20"/>
        </w:rPr>
        <w:t>CELL</w:t>
      </w:r>
    </w:p>
    <w:p w14:paraId="058E6AB7" w14:textId="58CAF51D" w:rsidR="002C0E1D" w:rsidRDefault="002C0E1D" w:rsidP="00040B0E">
      <w:pPr>
        <w:spacing w:after="0" w:line="240" w:lineRule="auto"/>
        <w:ind w:left="720"/>
        <w:rPr>
          <w:rFonts w:ascii="Times New Roman" w:hAnsi="Times New Roman" w:cs="Times New Roman"/>
        </w:rPr>
      </w:pPr>
      <w:r w:rsidRPr="002C0E1D">
        <w:rPr>
          <w:rFonts w:ascii="Times New Roman" w:hAnsi="Times New Roman" w:cs="Times New Roman"/>
          <w:b/>
          <w:bCs/>
          <w:sz w:val="20"/>
          <w:szCs w:val="20"/>
        </w:rPr>
        <w:t>Percharde M</w:t>
      </w:r>
      <w:r w:rsidRPr="002C0E1D">
        <w:rPr>
          <w:rFonts w:ascii="Times New Roman" w:hAnsi="Times New Roman" w:cs="Times New Roman"/>
          <w:sz w:val="20"/>
          <w:szCs w:val="20"/>
        </w:rPr>
        <w:t>, Lin CJ, Yin Y, Guan J, Peixoto GA, Bulut-</w:t>
      </w:r>
      <w:proofErr w:type="spellStart"/>
      <w:r w:rsidRPr="002C0E1D">
        <w:rPr>
          <w:rFonts w:ascii="Times New Roman" w:hAnsi="Times New Roman" w:cs="Times New Roman"/>
          <w:sz w:val="20"/>
          <w:szCs w:val="20"/>
        </w:rPr>
        <w:t>Karslioglu</w:t>
      </w:r>
      <w:proofErr w:type="spellEnd"/>
      <w:r w:rsidRPr="002C0E1D">
        <w:rPr>
          <w:rFonts w:ascii="Times New Roman" w:hAnsi="Times New Roman" w:cs="Times New Roman"/>
          <w:sz w:val="20"/>
          <w:szCs w:val="20"/>
        </w:rPr>
        <w:t xml:space="preserve"> A, </w:t>
      </w:r>
      <w:proofErr w:type="spellStart"/>
      <w:r w:rsidRPr="002C0E1D">
        <w:rPr>
          <w:rFonts w:ascii="Times New Roman" w:hAnsi="Times New Roman" w:cs="Times New Roman"/>
          <w:sz w:val="20"/>
          <w:szCs w:val="20"/>
        </w:rPr>
        <w:t>Biechele</w:t>
      </w:r>
      <w:proofErr w:type="spellEnd"/>
      <w:r w:rsidRPr="002C0E1D">
        <w:rPr>
          <w:rFonts w:ascii="Times New Roman" w:hAnsi="Times New Roman" w:cs="Times New Roman"/>
          <w:sz w:val="20"/>
          <w:szCs w:val="20"/>
        </w:rPr>
        <w:t xml:space="preserve"> S, Huang B, Shen X and Ramalho-Santos M (2018) </w:t>
      </w:r>
      <w:hyperlink r:id="rId7" w:tgtFrame="_blank" w:tooltip="Persistent link using digital object identifier" w:history="1">
        <w:r w:rsidRPr="002C0E1D">
          <w:rPr>
            <w:rStyle w:val="Hyperlink"/>
            <w:rFonts w:ascii="Times New Roman" w:hAnsi="Times New Roman" w:cs="Times New Roman"/>
            <w:bCs/>
            <w:sz w:val="20"/>
            <w:szCs w:val="20"/>
          </w:rPr>
          <w:t>https://doi.org/10.1016/j.cell.2018.05.043</w:t>
        </w:r>
      </w:hyperlink>
    </w:p>
    <w:p w14:paraId="509AEA7E" w14:textId="77777777" w:rsidR="00FD1DD9" w:rsidRPr="002C0E1D" w:rsidRDefault="00FD1DD9" w:rsidP="00040B0E">
      <w:pPr>
        <w:spacing w:after="0" w:line="240" w:lineRule="auto"/>
        <w:ind w:left="720"/>
        <w:rPr>
          <w:rFonts w:ascii="Times New Roman" w:hAnsi="Times New Roman" w:cs="Times New Roman"/>
          <w:bCs/>
          <w:sz w:val="20"/>
          <w:szCs w:val="20"/>
        </w:rPr>
      </w:pPr>
    </w:p>
    <w:p w14:paraId="751A9209" w14:textId="6BEB0FD2" w:rsidR="002C0E1D" w:rsidRDefault="00FD1DD9" w:rsidP="00FD1DD9">
      <w:pPr>
        <w:pStyle w:val="ListParagraph"/>
        <w:numPr>
          <w:ilvl w:val="0"/>
          <w:numId w:val="3"/>
        </w:numPr>
        <w:rPr>
          <w:rStyle w:val="Hyperlink"/>
          <w:rFonts w:ascii="Times New Roman" w:hAnsi="Times New Roman" w:cs="Times New Roman"/>
          <w:bCs/>
          <w:color w:val="auto"/>
          <w:sz w:val="20"/>
          <w:szCs w:val="20"/>
          <w:u w:val="none"/>
        </w:rPr>
      </w:pPr>
      <w:r w:rsidRPr="00FD1DD9">
        <w:rPr>
          <w:rStyle w:val="Hyperlink"/>
          <w:rFonts w:ascii="Times New Roman" w:hAnsi="Times New Roman" w:cs="Times New Roman"/>
          <w:bCs/>
          <w:i/>
          <w:iCs/>
          <w:color w:val="auto"/>
          <w:sz w:val="20"/>
          <w:szCs w:val="20"/>
          <w:u w:val="none"/>
        </w:rPr>
        <w:t>Inhibition of cytosolic DNA sensing and transposon activity safeguards pluripotency (</w:t>
      </w:r>
      <w:r>
        <w:rPr>
          <w:rStyle w:val="Hyperlink"/>
          <w:rFonts w:ascii="Times New Roman" w:hAnsi="Times New Roman" w:cs="Times New Roman"/>
          <w:bCs/>
          <w:i/>
          <w:iCs/>
          <w:color w:val="auto"/>
          <w:sz w:val="20"/>
          <w:szCs w:val="20"/>
          <w:u w:val="none"/>
        </w:rPr>
        <w:t>Preprint</w:t>
      </w:r>
      <w:r w:rsidRPr="00FD1DD9">
        <w:rPr>
          <w:rStyle w:val="Hyperlink"/>
          <w:rFonts w:ascii="Times New Roman" w:hAnsi="Times New Roman" w:cs="Times New Roman"/>
          <w:bCs/>
          <w:i/>
          <w:iCs/>
          <w:color w:val="auto"/>
          <w:sz w:val="20"/>
          <w:szCs w:val="20"/>
          <w:u w:val="none"/>
        </w:rPr>
        <w:t>)</w:t>
      </w:r>
      <w:r>
        <w:rPr>
          <w:rStyle w:val="Hyperlink"/>
          <w:rFonts w:ascii="Times New Roman" w:hAnsi="Times New Roman" w:cs="Times New Roman"/>
          <w:bCs/>
          <w:i/>
          <w:iCs/>
          <w:color w:val="auto"/>
          <w:sz w:val="20"/>
          <w:szCs w:val="20"/>
          <w:u w:val="none"/>
        </w:rPr>
        <w:t xml:space="preserve"> </w:t>
      </w:r>
      <w:r w:rsidRPr="00FD1DD9">
        <w:rPr>
          <w:rStyle w:val="Hyperlink"/>
          <w:rFonts w:ascii="Times New Roman" w:hAnsi="Times New Roman" w:cs="Times New Roman"/>
          <w:b/>
          <w:color w:val="auto"/>
          <w:sz w:val="20"/>
          <w:szCs w:val="20"/>
          <w:u w:val="none"/>
        </w:rPr>
        <w:t>BIORXIV</w:t>
      </w:r>
    </w:p>
    <w:p w14:paraId="092EF5DB" w14:textId="7DA7205D" w:rsidR="00FD1DD9" w:rsidRDefault="00FD1DD9" w:rsidP="00FD1DD9">
      <w:pPr>
        <w:pStyle w:val="ListParagraph"/>
        <w:rPr>
          <w:rStyle w:val="Hyperlink"/>
          <w:rFonts w:ascii="Times New Roman" w:hAnsi="Times New Roman" w:cs="Times New Roman"/>
          <w:bCs/>
          <w:color w:val="auto"/>
          <w:sz w:val="20"/>
          <w:szCs w:val="20"/>
          <w:u w:val="none"/>
        </w:rPr>
      </w:pPr>
      <w:r>
        <w:rPr>
          <w:rStyle w:val="Hyperlink"/>
          <w:rFonts w:ascii="Times New Roman" w:hAnsi="Times New Roman" w:cs="Times New Roman"/>
          <w:bCs/>
          <w:color w:val="auto"/>
          <w:sz w:val="20"/>
          <w:szCs w:val="20"/>
          <w:u w:val="none"/>
        </w:rPr>
        <w:t>Garcia-</w:t>
      </w:r>
      <w:proofErr w:type="spellStart"/>
      <w:r>
        <w:rPr>
          <w:rStyle w:val="Hyperlink"/>
          <w:rFonts w:ascii="Times New Roman" w:hAnsi="Times New Roman" w:cs="Times New Roman"/>
          <w:bCs/>
          <w:color w:val="auto"/>
          <w:sz w:val="20"/>
          <w:szCs w:val="20"/>
          <w:u w:val="none"/>
        </w:rPr>
        <w:t>Llagostera</w:t>
      </w:r>
      <w:proofErr w:type="spellEnd"/>
      <w:r>
        <w:rPr>
          <w:rStyle w:val="Hyperlink"/>
          <w:rFonts w:ascii="Times New Roman" w:hAnsi="Times New Roman" w:cs="Times New Roman"/>
          <w:bCs/>
          <w:color w:val="auto"/>
          <w:sz w:val="20"/>
          <w:szCs w:val="20"/>
          <w:u w:val="none"/>
        </w:rPr>
        <w:t xml:space="preserve"> F, Putman ALK, </w:t>
      </w:r>
      <w:proofErr w:type="spellStart"/>
      <w:r>
        <w:rPr>
          <w:rStyle w:val="Hyperlink"/>
          <w:rFonts w:ascii="Times New Roman" w:hAnsi="Times New Roman" w:cs="Times New Roman"/>
          <w:bCs/>
          <w:color w:val="auto"/>
          <w:sz w:val="20"/>
          <w:szCs w:val="20"/>
          <w:u w:val="none"/>
        </w:rPr>
        <w:t>Choromidis</w:t>
      </w:r>
      <w:proofErr w:type="spellEnd"/>
      <w:r>
        <w:rPr>
          <w:rStyle w:val="Hyperlink"/>
          <w:rFonts w:ascii="Times New Roman" w:hAnsi="Times New Roman" w:cs="Times New Roman"/>
          <w:bCs/>
          <w:color w:val="auto"/>
          <w:sz w:val="20"/>
          <w:szCs w:val="20"/>
          <w:u w:val="none"/>
        </w:rPr>
        <w:t xml:space="preserve"> A, Leeke BJ, Stanik K, Ramos-Guzman A, </w:t>
      </w:r>
      <w:proofErr w:type="spellStart"/>
      <w:r>
        <w:rPr>
          <w:rStyle w:val="Hyperlink"/>
          <w:rFonts w:ascii="Times New Roman" w:hAnsi="Times New Roman" w:cs="Times New Roman"/>
          <w:bCs/>
          <w:color w:val="auto"/>
          <w:sz w:val="20"/>
          <w:szCs w:val="20"/>
          <w:u w:val="none"/>
        </w:rPr>
        <w:t>Moyon</w:t>
      </w:r>
      <w:proofErr w:type="spellEnd"/>
      <w:r>
        <w:rPr>
          <w:rStyle w:val="Hyperlink"/>
          <w:rFonts w:ascii="Times New Roman" w:hAnsi="Times New Roman" w:cs="Times New Roman"/>
          <w:bCs/>
          <w:color w:val="auto"/>
          <w:sz w:val="20"/>
          <w:szCs w:val="20"/>
          <w:u w:val="none"/>
        </w:rPr>
        <w:t xml:space="preserve"> B, Gil J, Barr AR &amp; </w:t>
      </w:r>
      <w:r w:rsidRPr="00FD1DD9">
        <w:rPr>
          <w:rStyle w:val="Hyperlink"/>
          <w:rFonts w:ascii="Times New Roman" w:hAnsi="Times New Roman" w:cs="Times New Roman"/>
          <w:b/>
          <w:color w:val="auto"/>
          <w:sz w:val="20"/>
          <w:szCs w:val="20"/>
          <w:u w:val="none"/>
        </w:rPr>
        <w:t>Percharde M</w:t>
      </w:r>
      <w:r>
        <w:rPr>
          <w:rStyle w:val="Hyperlink"/>
          <w:rFonts w:ascii="Times New Roman" w:hAnsi="Times New Roman" w:cs="Times New Roman"/>
          <w:bCs/>
          <w:color w:val="auto"/>
          <w:sz w:val="20"/>
          <w:szCs w:val="20"/>
          <w:u w:val="none"/>
        </w:rPr>
        <w:t xml:space="preserve"> (2025) </w:t>
      </w:r>
      <w:hyperlink r:id="rId8" w:history="1">
        <w:r w:rsidRPr="00AA0D63">
          <w:rPr>
            <w:rStyle w:val="Hyperlink"/>
            <w:rFonts w:ascii="Times New Roman" w:hAnsi="Times New Roman" w:cs="Times New Roman"/>
            <w:bCs/>
            <w:sz w:val="20"/>
            <w:szCs w:val="20"/>
          </w:rPr>
          <w:t>https://doi.org/10.1101/2025.03.26.645264</w:t>
        </w:r>
      </w:hyperlink>
      <w:r>
        <w:rPr>
          <w:rStyle w:val="Hyperlink"/>
          <w:rFonts w:ascii="Times New Roman" w:hAnsi="Times New Roman" w:cs="Times New Roman"/>
          <w:bCs/>
          <w:color w:val="auto"/>
          <w:sz w:val="20"/>
          <w:szCs w:val="20"/>
          <w:u w:val="none"/>
        </w:rPr>
        <w:t xml:space="preserve"> </w:t>
      </w:r>
    </w:p>
    <w:p w14:paraId="22B7FA6A" w14:textId="77777777" w:rsidR="00FD1DD9" w:rsidRPr="00FD1DD9" w:rsidRDefault="00FD1DD9" w:rsidP="00FD1DD9">
      <w:pPr>
        <w:pStyle w:val="ListParagraph"/>
        <w:rPr>
          <w:rStyle w:val="Hyperlink"/>
          <w:rFonts w:ascii="Times New Roman" w:hAnsi="Times New Roman" w:cs="Times New Roman"/>
          <w:bCs/>
          <w:color w:val="auto"/>
          <w:sz w:val="20"/>
          <w:szCs w:val="20"/>
          <w:u w:val="none"/>
        </w:rPr>
      </w:pPr>
    </w:p>
    <w:p w14:paraId="28A499FD" w14:textId="7C4FC7CC" w:rsidR="002C0E1D" w:rsidRPr="00040B0E" w:rsidRDefault="002C0E1D" w:rsidP="00040B0E">
      <w:pPr>
        <w:pStyle w:val="ListParagraph"/>
        <w:numPr>
          <w:ilvl w:val="0"/>
          <w:numId w:val="3"/>
        </w:numPr>
        <w:spacing w:after="0" w:line="240" w:lineRule="auto"/>
        <w:rPr>
          <w:rFonts w:ascii="Times New Roman" w:hAnsi="Times New Roman" w:cs="Times New Roman"/>
          <w:sz w:val="20"/>
          <w:szCs w:val="20"/>
        </w:rPr>
      </w:pPr>
      <w:r w:rsidRPr="00040B0E">
        <w:rPr>
          <w:rFonts w:ascii="Times New Roman" w:hAnsi="Times New Roman" w:cs="Times New Roman"/>
          <w:i/>
          <w:iCs/>
          <w:sz w:val="20"/>
          <w:szCs w:val="20"/>
        </w:rPr>
        <w:t>Nucleolar-based Dux repression is essential for embryonic two-cell stage exit.</w:t>
      </w:r>
      <w:r w:rsidRPr="00040B0E">
        <w:rPr>
          <w:rFonts w:ascii="Times New Roman" w:hAnsi="Times New Roman" w:cs="Times New Roman"/>
          <w:sz w:val="20"/>
          <w:szCs w:val="20"/>
        </w:rPr>
        <w:t> </w:t>
      </w:r>
      <w:r w:rsidRPr="00040B0E">
        <w:rPr>
          <w:rFonts w:ascii="Times New Roman" w:hAnsi="Times New Roman" w:cs="Times New Roman"/>
          <w:b/>
          <w:bCs/>
          <w:sz w:val="20"/>
          <w:szCs w:val="20"/>
        </w:rPr>
        <w:t>GENES AND DEVELOPMENT</w:t>
      </w:r>
      <w:r w:rsidRPr="00040B0E">
        <w:rPr>
          <w:rFonts w:ascii="Times New Roman" w:hAnsi="Times New Roman" w:cs="Times New Roman"/>
          <w:sz w:val="20"/>
          <w:szCs w:val="20"/>
        </w:rPr>
        <w:t xml:space="preserve"> </w:t>
      </w:r>
    </w:p>
    <w:p w14:paraId="05271D88" w14:textId="556BEE5F" w:rsidR="002C0E1D" w:rsidRPr="002C0E1D" w:rsidRDefault="002C0E1D" w:rsidP="00040B0E">
      <w:pPr>
        <w:spacing w:after="0" w:line="240" w:lineRule="auto"/>
        <w:ind w:left="720"/>
        <w:rPr>
          <w:rFonts w:ascii="Times New Roman" w:hAnsi="Times New Roman" w:cs="Times New Roman"/>
          <w:bCs/>
          <w:sz w:val="20"/>
          <w:szCs w:val="20"/>
        </w:rPr>
      </w:pPr>
      <w:r w:rsidRPr="002C0E1D">
        <w:rPr>
          <w:rFonts w:ascii="Times New Roman" w:hAnsi="Times New Roman" w:cs="Times New Roman"/>
          <w:sz w:val="20"/>
          <w:szCs w:val="20"/>
        </w:rPr>
        <w:t>Xie SQ, Leeke BJ, </w:t>
      </w:r>
      <w:proofErr w:type="spellStart"/>
      <w:r w:rsidRPr="002C0E1D">
        <w:rPr>
          <w:rFonts w:ascii="Times New Roman" w:hAnsi="Times New Roman" w:cs="Times New Roman"/>
          <w:sz w:val="20"/>
          <w:szCs w:val="20"/>
        </w:rPr>
        <w:t>Whilding</w:t>
      </w:r>
      <w:proofErr w:type="spellEnd"/>
      <w:r w:rsidRPr="002C0E1D">
        <w:rPr>
          <w:rFonts w:ascii="Times New Roman" w:hAnsi="Times New Roman" w:cs="Times New Roman"/>
          <w:sz w:val="20"/>
          <w:szCs w:val="20"/>
        </w:rPr>
        <w:t xml:space="preserve"> C, Wagner RT, Garcia-</w:t>
      </w:r>
      <w:proofErr w:type="spellStart"/>
      <w:r w:rsidRPr="002C0E1D">
        <w:rPr>
          <w:rFonts w:ascii="Times New Roman" w:hAnsi="Times New Roman" w:cs="Times New Roman"/>
          <w:sz w:val="20"/>
          <w:szCs w:val="20"/>
        </w:rPr>
        <w:t>Llagostera</w:t>
      </w:r>
      <w:proofErr w:type="spellEnd"/>
      <w:r w:rsidRPr="002C0E1D">
        <w:rPr>
          <w:rFonts w:ascii="Times New Roman" w:hAnsi="Times New Roman" w:cs="Times New Roman"/>
          <w:sz w:val="20"/>
          <w:szCs w:val="20"/>
        </w:rPr>
        <w:t xml:space="preserve"> F, Low XY, Chammas P, Cheung NT-F, Dormann D, McManus MT, </w:t>
      </w:r>
      <w:r w:rsidRPr="002C0E1D">
        <w:rPr>
          <w:rFonts w:ascii="Times New Roman" w:hAnsi="Times New Roman" w:cs="Times New Roman"/>
          <w:b/>
          <w:bCs/>
          <w:sz w:val="20"/>
          <w:szCs w:val="20"/>
        </w:rPr>
        <w:t>Percharde M</w:t>
      </w:r>
      <w:r w:rsidRPr="002C0E1D">
        <w:rPr>
          <w:rFonts w:ascii="Times New Roman" w:hAnsi="Times New Roman" w:cs="Times New Roman"/>
          <w:sz w:val="20"/>
          <w:szCs w:val="20"/>
        </w:rPr>
        <w:t>. (2022) </w:t>
      </w:r>
      <w:r w:rsidRPr="002C0E1D">
        <w:rPr>
          <w:rFonts w:ascii="Times New Roman" w:hAnsi="Times New Roman" w:cs="Times New Roman"/>
          <w:b/>
          <w:bCs/>
          <w:sz w:val="20"/>
          <w:szCs w:val="20"/>
        </w:rPr>
        <w:t xml:space="preserve"> </w:t>
      </w:r>
      <w:hyperlink r:id="rId9" w:history="1">
        <w:r w:rsidRPr="002C0E1D">
          <w:rPr>
            <w:rStyle w:val="Hyperlink"/>
            <w:rFonts w:ascii="Times New Roman" w:hAnsi="Times New Roman" w:cs="Times New Roman"/>
            <w:sz w:val="20"/>
            <w:szCs w:val="20"/>
          </w:rPr>
          <w:t>https://doi.org/10.1101/gad.349172.121</w:t>
        </w:r>
      </w:hyperlink>
      <w:r w:rsidRPr="002C0E1D">
        <w:rPr>
          <w:rFonts w:ascii="Times New Roman" w:hAnsi="Times New Roman" w:cs="Times New Roman"/>
          <w:sz w:val="20"/>
          <w:szCs w:val="20"/>
        </w:rPr>
        <w:t xml:space="preserve">  </w:t>
      </w:r>
    </w:p>
    <w:p w14:paraId="4993BA91" w14:textId="77777777" w:rsidR="00F421C7" w:rsidRDefault="00F421C7" w:rsidP="001B115D">
      <w:pPr>
        <w:jc w:val="both"/>
        <w:rPr>
          <w:rFonts w:ascii="Times New Roman" w:hAnsi="Times New Roman" w:cs="Times New Roman"/>
          <w:b/>
          <w:bCs/>
        </w:rPr>
      </w:pPr>
    </w:p>
    <w:p w14:paraId="3525FAC4" w14:textId="70A13BE9" w:rsidR="0018588F" w:rsidRPr="00FD1DD9" w:rsidRDefault="0018588F" w:rsidP="00CE1886">
      <w:pPr>
        <w:rPr>
          <w:rFonts w:ascii="Times New Roman" w:hAnsi="Times New Roman" w:cs="Times New Roman"/>
        </w:rPr>
      </w:pPr>
    </w:p>
    <w:sectPr w:rsidR="0018588F" w:rsidRPr="00FD1D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617"/>
    <w:multiLevelType w:val="hybridMultilevel"/>
    <w:tmpl w:val="E334E89C"/>
    <w:lvl w:ilvl="0" w:tplc="4E42B3CA">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2B071D6"/>
    <w:multiLevelType w:val="hybridMultilevel"/>
    <w:tmpl w:val="080E6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422156"/>
    <w:multiLevelType w:val="hybridMultilevel"/>
    <w:tmpl w:val="91922938"/>
    <w:lvl w:ilvl="0" w:tplc="408818F0">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3945587">
    <w:abstractNumId w:val="0"/>
  </w:num>
  <w:num w:numId="2" w16cid:durableId="1411271373">
    <w:abstractNumId w:val="2"/>
  </w:num>
  <w:num w:numId="3" w16cid:durableId="253167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52fvfw15tesuewrv5p22esvxrsspsxz9fx&quot;&gt;My EndNote Library_ Lila Allou&lt;record-ids&gt;&lt;item&gt;1&lt;/item&gt;&lt;/record-ids&gt;&lt;/item&gt;&lt;/Libraries&gt;"/>
  </w:docVars>
  <w:rsids>
    <w:rsidRoot w:val="00CF45F1"/>
    <w:rsid w:val="00015261"/>
    <w:rsid w:val="00027D9B"/>
    <w:rsid w:val="00040B0E"/>
    <w:rsid w:val="00084F80"/>
    <w:rsid w:val="000A0EB8"/>
    <w:rsid w:val="000D414B"/>
    <w:rsid w:val="000F58DD"/>
    <w:rsid w:val="00123A09"/>
    <w:rsid w:val="00171D22"/>
    <w:rsid w:val="001737C7"/>
    <w:rsid w:val="0018588F"/>
    <w:rsid w:val="001A1C1B"/>
    <w:rsid w:val="001B115D"/>
    <w:rsid w:val="001D0676"/>
    <w:rsid w:val="00213CC1"/>
    <w:rsid w:val="0022111F"/>
    <w:rsid w:val="00224EEF"/>
    <w:rsid w:val="0027399F"/>
    <w:rsid w:val="002B3E7C"/>
    <w:rsid w:val="002C0E1D"/>
    <w:rsid w:val="002E10E7"/>
    <w:rsid w:val="0035714D"/>
    <w:rsid w:val="003701AE"/>
    <w:rsid w:val="003B16FF"/>
    <w:rsid w:val="00415DC4"/>
    <w:rsid w:val="00437DCA"/>
    <w:rsid w:val="00442405"/>
    <w:rsid w:val="00453033"/>
    <w:rsid w:val="00484B75"/>
    <w:rsid w:val="004C594F"/>
    <w:rsid w:val="005145AE"/>
    <w:rsid w:val="00541EB6"/>
    <w:rsid w:val="005A4874"/>
    <w:rsid w:val="00605BEB"/>
    <w:rsid w:val="00622A07"/>
    <w:rsid w:val="0065430A"/>
    <w:rsid w:val="0067745D"/>
    <w:rsid w:val="00683A37"/>
    <w:rsid w:val="007522F9"/>
    <w:rsid w:val="00752A16"/>
    <w:rsid w:val="0076090A"/>
    <w:rsid w:val="007C4941"/>
    <w:rsid w:val="007D2E61"/>
    <w:rsid w:val="00836D44"/>
    <w:rsid w:val="00881157"/>
    <w:rsid w:val="008B1FF5"/>
    <w:rsid w:val="00913663"/>
    <w:rsid w:val="00950B41"/>
    <w:rsid w:val="009671F0"/>
    <w:rsid w:val="009708F5"/>
    <w:rsid w:val="009747A4"/>
    <w:rsid w:val="009A410D"/>
    <w:rsid w:val="009A707F"/>
    <w:rsid w:val="009D2928"/>
    <w:rsid w:val="00A03EA0"/>
    <w:rsid w:val="00A2374E"/>
    <w:rsid w:val="00A52D9D"/>
    <w:rsid w:val="00A621AB"/>
    <w:rsid w:val="00A900D2"/>
    <w:rsid w:val="00A91041"/>
    <w:rsid w:val="00AB39E7"/>
    <w:rsid w:val="00B31485"/>
    <w:rsid w:val="00B40D4C"/>
    <w:rsid w:val="00B44D83"/>
    <w:rsid w:val="00B5606C"/>
    <w:rsid w:val="00BD091F"/>
    <w:rsid w:val="00C00AC1"/>
    <w:rsid w:val="00C14AED"/>
    <w:rsid w:val="00C2650B"/>
    <w:rsid w:val="00C27874"/>
    <w:rsid w:val="00C862B0"/>
    <w:rsid w:val="00CE1886"/>
    <w:rsid w:val="00CF45F1"/>
    <w:rsid w:val="00CF65D1"/>
    <w:rsid w:val="00D07FED"/>
    <w:rsid w:val="00D103C1"/>
    <w:rsid w:val="00D32248"/>
    <w:rsid w:val="00D3515B"/>
    <w:rsid w:val="00D5457F"/>
    <w:rsid w:val="00D61325"/>
    <w:rsid w:val="00D9573F"/>
    <w:rsid w:val="00DA2926"/>
    <w:rsid w:val="00DE48C0"/>
    <w:rsid w:val="00E07D44"/>
    <w:rsid w:val="00E36D84"/>
    <w:rsid w:val="00E46825"/>
    <w:rsid w:val="00ED5F28"/>
    <w:rsid w:val="00F421C7"/>
    <w:rsid w:val="00F764FE"/>
    <w:rsid w:val="00F810E6"/>
    <w:rsid w:val="00FC6E04"/>
    <w:rsid w:val="00FD1D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B338"/>
  <w15:chartTrackingRefBased/>
  <w15:docId w15:val="{A5C20007-C06C-45EC-B9F3-DF6C8DCA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31485"/>
    <w:pPr>
      <w:ind w:left="720"/>
      <w:contextualSpacing/>
    </w:pPr>
  </w:style>
  <w:style w:type="character" w:styleId="Hyperlink">
    <w:name w:val="Hyperlink"/>
    <w:basedOn w:val="DefaultParagraphFont"/>
    <w:uiPriority w:val="99"/>
    <w:unhideWhenUsed/>
    <w:rsid w:val="00B31485"/>
    <w:rPr>
      <w:color w:val="0563C1" w:themeColor="hyperlink"/>
      <w:u w:val="single"/>
    </w:rPr>
  </w:style>
  <w:style w:type="character" w:customStyle="1" w:styleId="UnresolvedMention1">
    <w:name w:val="Unresolved Mention1"/>
    <w:basedOn w:val="DefaultParagraphFont"/>
    <w:uiPriority w:val="99"/>
    <w:semiHidden/>
    <w:unhideWhenUsed/>
    <w:rsid w:val="00B31485"/>
    <w:rPr>
      <w:color w:val="605E5C"/>
      <w:shd w:val="clear" w:color="auto" w:fill="E1DFDD"/>
    </w:rPr>
  </w:style>
  <w:style w:type="paragraph" w:customStyle="1" w:styleId="EndNoteBibliographyTitle">
    <w:name w:val="EndNote Bibliography Title"/>
    <w:basedOn w:val="Normal"/>
    <w:link w:val="EndNoteBibliographyTitleChar"/>
    <w:rsid w:val="00CE1886"/>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CE1886"/>
  </w:style>
  <w:style w:type="character" w:customStyle="1" w:styleId="EndNoteBibliographyTitleChar">
    <w:name w:val="EndNote Bibliography Title Char"/>
    <w:basedOn w:val="ListParagraphChar"/>
    <w:link w:val="EndNoteBibliographyTitle"/>
    <w:rsid w:val="00CE1886"/>
    <w:rPr>
      <w:rFonts w:ascii="Calibri" w:hAnsi="Calibri" w:cs="Calibri"/>
      <w:noProof/>
      <w:lang w:val="en-US"/>
    </w:rPr>
  </w:style>
  <w:style w:type="paragraph" w:customStyle="1" w:styleId="EndNoteBibliography">
    <w:name w:val="EndNote Bibliography"/>
    <w:basedOn w:val="Normal"/>
    <w:link w:val="EndNoteBibliographyChar"/>
    <w:rsid w:val="00CE1886"/>
    <w:pPr>
      <w:spacing w:line="240" w:lineRule="auto"/>
      <w:jc w:val="both"/>
    </w:pPr>
    <w:rPr>
      <w:rFonts w:ascii="Calibri" w:hAnsi="Calibri" w:cs="Calibri"/>
      <w:noProof/>
      <w:lang w:val="en-US"/>
    </w:rPr>
  </w:style>
  <w:style w:type="character" w:customStyle="1" w:styleId="EndNoteBibliographyChar">
    <w:name w:val="EndNote Bibliography Char"/>
    <w:basedOn w:val="ListParagraphChar"/>
    <w:link w:val="EndNoteBibliography"/>
    <w:rsid w:val="00CE1886"/>
    <w:rPr>
      <w:rFonts w:ascii="Calibri" w:hAnsi="Calibri" w:cs="Calibri"/>
      <w:noProof/>
      <w:lang w:val="en-US"/>
    </w:rPr>
  </w:style>
  <w:style w:type="character" w:styleId="UnresolvedMention">
    <w:name w:val="Unresolved Mention"/>
    <w:basedOn w:val="DefaultParagraphFont"/>
    <w:uiPriority w:val="99"/>
    <w:semiHidden/>
    <w:unhideWhenUsed/>
    <w:rsid w:val="002C0E1D"/>
    <w:rPr>
      <w:color w:val="605E5C"/>
      <w:shd w:val="clear" w:color="auto" w:fill="E1DFDD"/>
    </w:rPr>
  </w:style>
  <w:style w:type="paragraph" w:customStyle="1" w:styleId="p1">
    <w:name w:val="p1"/>
    <w:basedOn w:val="Normal"/>
    <w:rsid w:val="002C0E1D"/>
    <w:pPr>
      <w:spacing w:after="0" w:line="240" w:lineRule="auto"/>
    </w:pPr>
    <w:rPr>
      <w:rFonts w:ascii="Times New Roman" w:eastAsia="Times New Roman" w:hAnsi="Times New Roman" w:cs="Times New Roman"/>
      <w:color w:val="262626"/>
      <w:sz w:val="41"/>
      <w:szCs w:val="41"/>
      <w:lang w:eastAsia="en-GB"/>
    </w:rPr>
  </w:style>
  <w:style w:type="character" w:styleId="FollowedHyperlink">
    <w:name w:val="FollowedHyperlink"/>
    <w:basedOn w:val="DefaultParagraphFont"/>
    <w:uiPriority w:val="99"/>
    <w:semiHidden/>
    <w:unhideWhenUsed/>
    <w:rsid w:val="002C0E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1/2025.03.26.645264" TargetMode="External"/><Relationship Id="rId3" Type="http://schemas.openxmlformats.org/officeDocument/2006/relationships/settings" Target="settings.xml"/><Relationship Id="rId7" Type="http://schemas.openxmlformats.org/officeDocument/2006/relationships/hyperlink" Target="https://doi.org/10.1016/j.cell.2018.05.0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26/sciadv.adu9092" TargetMode="External"/><Relationship Id="rId11" Type="http://schemas.openxmlformats.org/officeDocument/2006/relationships/theme" Target="theme/theme1.xml"/><Relationship Id="rId5" Type="http://schemas.openxmlformats.org/officeDocument/2006/relationships/hyperlink" Target="https://doi.org/10.1002/bies.20190023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1/gad.349172.1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Allou, Lila</dc:creator>
  <cp:keywords/>
  <dc:description/>
  <cp:lastModifiedBy>Marsh, Claire Louise Mayfield</cp:lastModifiedBy>
  <cp:revision>2</cp:revision>
  <dcterms:created xsi:type="dcterms:W3CDTF">2026-10-06T15:06:00Z</dcterms:created>
  <dcterms:modified xsi:type="dcterms:W3CDTF">2026-10-06T15:06:00Z</dcterms:modified>
</cp:coreProperties>
</file>