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D18E2" w14:textId="18652D5B" w:rsidR="00C27874" w:rsidRPr="00F06E34" w:rsidRDefault="00CF45F1" w:rsidP="001B115D">
      <w:pPr>
        <w:jc w:val="both"/>
        <w:rPr>
          <w:rFonts w:ascii="Arial" w:hAnsi="Arial" w:cs="Arial"/>
        </w:rPr>
      </w:pPr>
      <w:r w:rsidRPr="00F06E34">
        <w:rPr>
          <w:rFonts w:ascii="Arial" w:hAnsi="Arial" w:cs="Arial"/>
          <w:b/>
          <w:bCs/>
        </w:rPr>
        <w:t>Supervisors</w:t>
      </w:r>
      <w:r w:rsidR="00982788">
        <w:rPr>
          <w:rFonts w:ascii="Arial" w:hAnsi="Arial" w:cs="Arial"/>
          <w:b/>
          <w:bCs/>
        </w:rPr>
        <w:t>:</w:t>
      </w:r>
    </w:p>
    <w:p w14:paraId="13E01D8F" w14:textId="66C7D310" w:rsidR="00AC4742" w:rsidRDefault="00AC4742" w:rsidP="00AC4742">
      <w:r>
        <w:rPr>
          <w:rFonts w:ascii="Arial" w:hAnsi="Arial"/>
          <w:sz w:val="20"/>
        </w:rPr>
        <w:t>Professor Christian Speck - Imperial College London, Institute of Clinical Sciences, and MRC Laboratory of Medical Sciences.</w:t>
      </w:r>
    </w:p>
    <w:p w14:paraId="17DAAF13" w14:textId="1AF907D9" w:rsidR="00AC4742" w:rsidRDefault="00AC4742" w:rsidP="00AC4742">
      <w:r>
        <w:rPr>
          <w:rFonts w:ascii="Arial" w:hAnsi="Arial"/>
          <w:sz w:val="20"/>
        </w:rPr>
        <w:t xml:space="preserve">Dr Anna Barnard - Imperial College London, Department of Chemistry. </w:t>
      </w:r>
    </w:p>
    <w:p w14:paraId="3B7B2140" w14:textId="5EAECD0C" w:rsidR="00AC4742" w:rsidRDefault="00AC4742" w:rsidP="00AC4742">
      <w:r>
        <w:rPr>
          <w:rFonts w:ascii="Arial" w:hAnsi="Arial"/>
          <w:sz w:val="20"/>
        </w:rPr>
        <w:t xml:space="preserve">Dr Alexis Barr - </w:t>
      </w:r>
      <w:r w:rsidR="002760A6">
        <w:rPr>
          <w:rFonts w:ascii="Arial" w:hAnsi="Arial"/>
          <w:sz w:val="20"/>
        </w:rPr>
        <w:t>Imperial College London, Institute of Clinical Sciences</w:t>
      </w:r>
      <w:r w:rsidR="00A35AA8">
        <w:rPr>
          <w:rFonts w:ascii="Arial" w:hAnsi="Arial"/>
          <w:sz w:val="20"/>
        </w:rPr>
        <w:t xml:space="preserve">, and </w:t>
      </w:r>
      <w:r>
        <w:rPr>
          <w:rFonts w:ascii="Arial" w:hAnsi="Arial"/>
          <w:sz w:val="20"/>
        </w:rPr>
        <w:t xml:space="preserve">MRC Laboratory of Medical Sciences. </w:t>
      </w:r>
    </w:p>
    <w:p w14:paraId="38F11241" w14:textId="50FA95C3" w:rsidR="0027399F" w:rsidRPr="00F06E34" w:rsidRDefault="0018588F" w:rsidP="001B115D">
      <w:pPr>
        <w:jc w:val="both"/>
        <w:rPr>
          <w:rFonts w:ascii="Arial" w:hAnsi="Arial" w:cs="Arial"/>
          <w:b/>
          <w:bCs/>
        </w:rPr>
      </w:pPr>
      <w:r w:rsidRPr="00F06E34">
        <w:rPr>
          <w:rFonts w:ascii="Arial" w:hAnsi="Arial" w:cs="Arial"/>
          <w:b/>
          <w:bCs/>
        </w:rPr>
        <w:t>Project Title:</w:t>
      </w:r>
    </w:p>
    <w:p w14:paraId="0A3F1D25" w14:textId="732BED98" w:rsidR="00AF4741" w:rsidRDefault="004B7E0C" w:rsidP="001B115D">
      <w:pPr>
        <w:jc w:val="both"/>
        <w:rPr>
          <w:rFonts w:ascii="Arial" w:hAnsi="Arial" w:cs="Arial"/>
        </w:rPr>
      </w:pPr>
      <w:r w:rsidRPr="004B7E0C">
        <w:rPr>
          <w:rFonts w:ascii="Arial" w:hAnsi="Arial" w:cs="Arial"/>
        </w:rPr>
        <w:t>Designing peptides to uncover cancer vulnerabilities at telomeres</w:t>
      </w:r>
    </w:p>
    <w:p w14:paraId="7143931A" w14:textId="14A6C91D" w:rsidR="00A900D2" w:rsidRPr="00F06E34" w:rsidRDefault="0027399F" w:rsidP="001B115D">
      <w:pPr>
        <w:jc w:val="both"/>
        <w:rPr>
          <w:rFonts w:ascii="Arial" w:hAnsi="Arial" w:cs="Arial"/>
          <w:b/>
          <w:bCs/>
        </w:rPr>
      </w:pPr>
      <w:r w:rsidRPr="00F06E34">
        <w:rPr>
          <w:rFonts w:ascii="Arial" w:hAnsi="Arial" w:cs="Arial"/>
          <w:b/>
          <w:bCs/>
        </w:rPr>
        <w:t>Project Description</w:t>
      </w:r>
      <w:r w:rsidR="00982788">
        <w:rPr>
          <w:rFonts w:ascii="Arial" w:hAnsi="Arial" w:cs="Arial"/>
          <w:b/>
          <w:bCs/>
        </w:rPr>
        <w:t>:</w:t>
      </w:r>
      <w:r w:rsidR="0018588F" w:rsidRPr="00F06E34">
        <w:rPr>
          <w:rFonts w:ascii="Arial" w:hAnsi="Arial" w:cs="Arial"/>
          <w:b/>
          <w:bCs/>
        </w:rPr>
        <w:t xml:space="preserve"> </w:t>
      </w:r>
    </w:p>
    <w:p w14:paraId="41C1066C" w14:textId="30F5C6BE" w:rsidR="007F6F29" w:rsidRPr="007F6F29" w:rsidRDefault="007F6F29" w:rsidP="00562F76">
      <w:pPr>
        <w:jc w:val="both"/>
        <w:rPr>
          <w:rFonts w:ascii="Arial" w:hAnsi="Arial"/>
          <w:sz w:val="20"/>
        </w:rPr>
      </w:pPr>
      <w:r w:rsidRPr="007F6F29">
        <w:rPr>
          <w:rFonts w:ascii="Arial" w:hAnsi="Arial"/>
          <w:sz w:val="20"/>
        </w:rPr>
        <w:t>How do cells copy chromosome ends whose protection depends on restricting access to DNA? Telomeres are protected by shelterin, a protein complex that prevents chromosome ends from being mistaken for broken DNA. Yet these protected regions must also be prepared for replication before DNA copying begins. Our preliminary findings reveal an unexpected activity of the origin recognition complex (ORC)</w:t>
      </w:r>
      <w:r w:rsidR="00EC74BA">
        <w:rPr>
          <w:rFonts w:ascii="Arial" w:hAnsi="Arial"/>
          <w:sz w:val="20"/>
        </w:rPr>
        <w:t xml:space="preserve">, </w:t>
      </w:r>
      <w:r w:rsidR="00535B7A" w:rsidRPr="00535B7A">
        <w:rPr>
          <w:rFonts w:ascii="Arial" w:hAnsi="Arial"/>
          <w:sz w:val="20"/>
        </w:rPr>
        <w:t>which helps prepare DNA for replication</w:t>
      </w:r>
      <w:r w:rsidRPr="007F6F29">
        <w:rPr>
          <w:rFonts w:ascii="Arial" w:hAnsi="Arial"/>
          <w:sz w:val="20"/>
        </w:rPr>
        <w:t>: it binds the shelterin protein TRF2 and reorganises the assembled protective complex. This suggests a mechanism for preparing telomeres for replication that we can now investigate and manipulate.</w:t>
      </w:r>
      <w:r w:rsidR="00562F76">
        <w:rPr>
          <w:rFonts w:ascii="Arial" w:hAnsi="Arial"/>
          <w:sz w:val="20"/>
        </w:rPr>
        <w:t xml:space="preserve"> </w:t>
      </w:r>
      <w:r w:rsidR="00562F76" w:rsidRPr="00562F76">
        <w:rPr>
          <w:rFonts w:ascii="Arial" w:hAnsi="Arial"/>
          <w:sz w:val="20"/>
        </w:rPr>
        <w:t>Cancer cells often struggle to copy their DNA and may therefore be especially vulnerable when telomeres are not properly prepared for replication</w:t>
      </w:r>
      <w:r w:rsidR="00EC74BA" w:rsidRPr="00D93E6C">
        <w:rPr>
          <w:rFonts w:ascii="Arial" w:hAnsi="Arial"/>
          <w:sz w:val="20"/>
        </w:rPr>
        <w:t xml:space="preserve">. </w:t>
      </w:r>
      <w:r w:rsidRPr="007F6F29">
        <w:rPr>
          <w:rFonts w:ascii="Arial" w:hAnsi="Arial"/>
          <w:sz w:val="20"/>
        </w:rPr>
        <w:t>We will test whether disrupting ORC-TRF2 interactions damages their telomeres and makes it harder for them to survive.</w:t>
      </w:r>
    </w:p>
    <w:p w14:paraId="25203B59" w14:textId="77777777" w:rsidR="007F6F29" w:rsidRPr="007F6F29" w:rsidRDefault="007F6F29" w:rsidP="007F6F29">
      <w:pPr>
        <w:jc w:val="both"/>
        <w:rPr>
          <w:rFonts w:ascii="Arial" w:hAnsi="Arial"/>
          <w:sz w:val="20"/>
        </w:rPr>
      </w:pPr>
      <w:r w:rsidRPr="007F6F29">
        <w:rPr>
          <w:rFonts w:ascii="Arial" w:hAnsi="Arial"/>
          <w:sz w:val="20"/>
        </w:rPr>
        <w:t>You will investigate which TRF2 interactions control telomere replication and protection, and design peptides to reveal their roles. Working with purified human proteins, you will map these interactions and use quantitative binding measurements to guide peptide design, synthesis and optimisation. You will investigate how your molecules change shelterin organisation and telomere behaviour, connecting molecular design with experiments in human cells. Existing interaction mutants will allow you to begin cellular experiments alongside peptide development, with biological findings informing further molecular design. A particular focus will be cancers that use alternative lengthening of telomeres (ALT). These cells depend on recombination to maintain chromosome ends, yet must prevent destructive recombination that deletes telomeric DNA or fuses chromosomes. By comparing ALT cancer cells, telomerase-positive cancer cells and normal cells, you will test whether perturbing TRF2 interactions disrupts this balance and preferentially compromises cancer-cell survival.</w:t>
      </w:r>
    </w:p>
    <w:p w14:paraId="5035614E" w14:textId="77777777" w:rsidR="007F6F29" w:rsidRDefault="007F6F29" w:rsidP="007F6F29">
      <w:pPr>
        <w:jc w:val="both"/>
        <w:rPr>
          <w:rFonts w:ascii="Arial" w:hAnsi="Arial"/>
          <w:sz w:val="20"/>
        </w:rPr>
      </w:pPr>
      <w:r w:rsidRPr="007F6F29">
        <w:rPr>
          <w:rFonts w:ascii="Arial" w:hAnsi="Arial"/>
          <w:sz w:val="20"/>
        </w:rPr>
        <w:t>You will join the Speck, Barnard and Barr laboratories at Imperial College London and the MRC Laboratory of Medical Sciences. The laboratories are based nearby in west London, making it easy to work across disciplines and receive hands-on support from all three teams. This collaboration builds on a successful joint PhD project combining peptide design and DNA replication research, with findings published in Nature Communications in 2025. Coordinated supervision will provide training in protein biochemistry, peptide design and synthesis, computational modelling and quantitative cell imaging, with opportunities to develop your own hypotheses as the project evolves. We welcome applicants from biochemistry, chemistry, molecular biology or related disciplines; prior experience across all these areas is not required. You will develop skills relevant to academic research, biotechnology and drug discovery.</w:t>
      </w:r>
    </w:p>
    <w:p w14:paraId="5266D7DB" w14:textId="1D28731E" w:rsidR="008115B6" w:rsidRDefault="001D0676" w:rsidP="00982788">
      <w:pPr>
        <w:jc w:val="both"/>
        <w:rPr>
          <w:rFonts w:ascii="Arial" w:hAnsi="Arial"/>
          <w:sz w:val="20"/>
        </w:rPr>
      </w:pPr>
      <w:r w:rsidRPr="00F06E34">
        <w:rPr>
          <w:rFonts w:ascii="Arial" w:hAnsi="Arial" w:cs="Arial"/>
          <w:b/>
          <w:bCs/>
        </w:rPr>
        <w:t>References</w:t>
      </w:r>
      <w:r w:rsidR="00982788">
        <w:rPr>
          <w:rFonts w:ascii="Arial" w:hAnsi="Arial" w:cs="Arial"/>
          <w:b/>
          <w:bCs/>
        </w:rPr>
        <w:t>:</w:t>
      </w:r>
    </w:p>
    <w:p w14:paraId="31A48EE2" w14:textId="31711DD1" w:rsidR="008115B6" w:rsidRPr="00535B7A" w:rsidRDefault="008115B6" w:rsidP="008115B6">
      <w:pPr>
        <w:rPr>
          <w:rFonts w:ascii="Arial" w:hAnsi="Arial" w:cs="Arial"/>
          <w:sz w:val="20"/>
          <w:szCs w:val="20"/>
        </w:rPr>
      </w:pPr>
      <w:r w:rsidRPr="00535B7A">
        <w:rPr>
          <w:rFonts w:ascii="Arial" w:hAnsi="Arial" w:cs="Arial"/>
          <w:sz w:val="20"/>
          <w:szCs w:val="20"/>
        </w:rPr>
        <w:t>1</w:t>
      </w:r>
      <w:r w:rsidR="00535B7A">
        <w:rPr>
          <w:rFonts w:ascii="Arial" w:hAnsi="Arial" w:cs="Arial"/>
          <w:sz w:val="20"/>
          <w:szCs w:val="20"/>
        </w:rPr>
        <w:t>.</w:t>
      </w:r>
      <w:r w:rsidRPr="00535B7A">
        <w:rPr>
          <w:rFonts w:ascii="Arial" w:hAnsi="Arial" w:cs="Arial"/>
          <w:sz w:val="20"/>
          <w:szCs w:val="20"/>
        </w:rPr>
        <w:t xml:space="preserve"> Tomkins J et al. Geminin inhibits DNA replication licensing by sterically blocking CDT1-MCM2 interactions. Nature Communications 16, 11040 (2025).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6" w:history="1">
        <w:r w:rsidRPr="00535B7A">
          <w:rPr>
            <w:rStyle w:val="Hyperlink"/>
            <w:rFonts w:ascii="Arial" w:hAnsi="Arial" w:cs="Arial"/>
            <w:sz w:val="20"/>
            <w:szCs w:val="20"/>
          </w:rPr>
          <w:t>10.1038/s41467-025-67073-0</w:t>
        </w:r>
      </w:hyperlink>
    </w:p>
    <w:p w14:paraId="110A39A3" w14:textId="7E35875D" w:rsidR="008115B6" w:rsidRPr="00535B7A" w:rsidRDefault="008115B6" w:rsidP="008115B6">
      <w:pPr>
        <w:rPr>
          <w:rFonts w:ascii="Arial" w:hAnsi="Arial" w:cs="Arial"/>
          <w:sz w:val="20"/>
          <w:szCs w:val="20"/>
        </w:rPr>
      </w:pPr>
      <w:r w:rsidRPr="00535B7A">
        <w:rPr>
          <w:rFonts w:ascii="Arial" w:hAnsi="Arial" w:cs="Arial"/>
          <w:sz w:val="20"/>
          <w:szCs w:val="20"/>
        </w:rPr>
        <w:t>2</w:t>
      </w:r>
      <w:r w:rsidR="00535B7A">
        <w:rPr>
          <w:rFonts w:ascii="Arial" w:hAnsi="Arial" w:cs="Arial"/>
          <w:sz w:val="20"/>
          <w:szCs w:val="20"/>
        </w:rPr>
        <w:t>.</w:t>
      </w:r>
      <w:r w:rsidRPr="00535B7A">
        <w:rPr>
          <w:rFonts w:ascii="Arial" w:hAnsi="Arial" w:cs="Arial"/>
          <w:sz w:val="20"/>
          <w:szCs w:val="20"/>
        </w:rPr>
        <w:t xml:space="preserve"> de Lange T. Shelterin-Mediated Telomere Protection. Annual Review of Genetics 52, 223-247 (2018).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7" w:history="1">
        <w:r w:rsidRPr="00535B7A">
          <w:rPr>
            <w:rStyle w:val="Hyperlink"/>
            <w:rFonts w:ascii="Arial" w:hAnsi="Arial" w:cs="Arial"/>
            <w:sz w:val="20"/>
            <w:szCs w:val="20"/>
          </w:rPr>
          <w:t>10.1146/annurev-genet-032918-021921</w:t>
        </w:r>
      </w:hyperlink>
    </w:p>
    <w:p w14:paraId="5051EB45" w14:textId="392C9438" w:rsidR="008115B6" w:rsidRPr="00535B7A" w:rsidRDefault="008115B6" w:rsidP="008115B6">
      <w:pPr>
        <w:rPr>
          <w:rFonts w:ascii="Arial" w:hAnsi="Arial" w:cs="Arial"/>
          <w:sz w:val="20"/>
          <w:szCs w:val="20"/>
        </w:rPr>
      </w:pPr>
      <w:r w:rsidRPr="00535B7A">
        <w:rPr>
          <w:rFonts w:ascii="Arial" w:hAnsi="Arial" w:cs="Arial"/>
          <w:sz w:val="20"/>
          <w:szCs w:val="20"/>
        </w:rPr>
        <w:t>3</w:t>
      </w:r>
      <w:r w:rsidR="00535B7A">
        <w:rPr>
          <w:rFonts w:ascii="Arial" w:hAnsi="Arial" w:cs="Arial"/>
          <w:sz w:val="20"/>
          <w:szCs w:val="20"/>
        </w:rPr>
        <w:t xml:space="preserve">. </w:t>
      </w:r>
      <w:r w:rsidRPr="00535B7A">
        <w:rPr>
          <w:rFonts w:ascii="Arial" w:hAnsi="Arial" w:cs="Arial"/>
          <w:sz w:val="20"/>
          <w:szCs w:val="20"/>
        </w:rPr>
        <w:t xml:space="preserve">Wells JN et al. Reconstitution of human DNA licensing and the structural and functional analysis of key intermediates. Nature Communications 16, 478 (2025).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8" w:history="1">
        <w:r w:rsidRPr="00535B7A">
          <w:rPr>
            <w:rStyle w:val="Hyperlink"/>
            <w:rFonts w:ascii="Arial" w:hAnsi="Arial" w:cs="Arial"/>
            <w:sz w:val="20"/>
            <w:szCs w:val="20"/>
          </w:rPr>
          <w:t>10.1038/s41467-024-55772-z</w:t>
        </w:r>
      </w:hyperlink>
    </w:p>
    <w:p w14:paraId="71BB93B9" w14:textId="5FC239B4" w:rsidR="008115B6" w:rsidRPr="00535B7A" w:rsidRDefault="008115B6" w:rsidP="008115B6">
      <w:pPr>
        <w:rPr>
          <w:rFonts w:ascii="Arial" w:hAnsi="Arial" w:cs="Arial"/>
          <w:sz w:val="20"/>
          <w:szCs w:val="20"/>
        </w:rPr>
      </w:pPr>
      <w:r w:rsidRPr="00535B7A">
        <w:rPr>
          <w:rFonts w:ascii="Arial" w:hAnsi="Arial" w:cs="Arial"/>
          <w:sz w:val="20"/>
          <w:szCs w:val="20"/>
        </w:rPr>
        <w:lastRenderedPageBreak/>
        <w:t>4</w:t>
      </w:r>
      <w:r w:rsidR="00535B7A">
        <w:rPr>
          <w:rFonts w:ascii="Arial" w:hAnsi="Arial" w:cs="Arial"/>
          <w:sz w:val="20"/>
          <w:szCs w:val="20"/>
        </w:rPr>
        <w:t>.</w:t>
      </w:r>
      <w:r w:rsidRPr="00535B7A">
        <w:rPr>
          <w:rFonts w:ascii="Arial" w:hAnsi="Arial" w:cs="Arial"/>
          <w:sz w:val="20"/>
          <w:szCs w:val="20"/>
        </w:rPr>
        <w:t xml:space="preserve"> Chen Y et al. A shared docking motif in TRF1 and TRF2 used for differential recruitment of telomeric proteins. Science 319, 1092-1096 (2008).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9" w:history="1">
        <w:r w:rsidRPr="00535B7A">
          <w:rPr>
            <w:rStyle w:val="Hyperlink"/>
            <w:rFonts w:ascii="Arial" w:hAnsi="Arial" w:cs="Arial"/>
            <w:sz w:val="20"/>
            <w:szCs w:val="20"/>
          </w:rPr>
          <w:t>10.1126/science.1151804</w:t>
        </w:r>
      </w:hyperlink>
    </w:p>
    <w:p w14:paraId="441F225C" w14:textId="516640B4" w:rsidR="008115B6" w:rsidRPr="00535B7A" w:rsidRDefault="008115B6" w:rsidP="008115B6">
      <w:pPr>
        <w:rPr>
          <w:rFonts w:ascii="Arial" w:hAnsi="Arial" w:cs="Arial"/>
          <w:sz w:val="20"/>
          <w:szCs w:val="20"/>
        </w:rPr>
      </w:pPr>
      <w:r w:rsidRPr="00535B7A">
        <w:rPr>
          <w:rFonts w:ascii="Arial" w:hAnsi="Arial" w:cs="Arial"/>
          <w:sz w:val="20"/>
          <w:szCs w:val="20"/>
        </w:rPr>
        <w:t>5</w:t>
      </w:r>
      <w:r w:rsidR="00535B7A">
        <w:rPr>
          <w:rFonts w:ascii="Arial" w:hAnsi="Arial" w:cs="Arial"/>
          <w:sz w:val="20"/>
          <w:szCs w:val="20"/>
        </w:rPr>
        <w:t>.</w:t>
      </w:r>
      <w:r w:rsidRPr="00535B7A">
        <w:rPr>
          <w:rFonts w:ascii="Arial" w:hAnsi="Arial" w:cs="Arial"/>
          <w:sz w:val="20"/>
          <w:szCs w:val="20"/>
        </w:rPr>
        <w:t xml:space="preserve"> Worm DJ et al. Stapled </w:t>
      </w:r>
      <w:proofErr w:type="spellStart"/>
      <w:r w:rsidRPr="00535B7A">
        <w:rPr>
          <w:rFonts w:ascii="Arial" w:hAnsi="Arial" w:cs="Arial"/>
          <w:sz w:val="20"/>
          <w:szCs w:val="20"/>
        </w:rPr>
        <w:t>Phd</w:t>
      </w:r>
      <w:proofErr w:type="spellEnd"/>
      <w:r w:rsidRPr="00535B7A">
        <w:rPr>
          <w:rFonts w:ascii="Arial" w:hAnsi="Arial" w:cs="Arial"/>
          <w:sz w:val="20"/>
          <w:szCs w:val="20"/>
        </w:rPr>
        <w:t xml:space="preserve"> Peptides Inhibit Doc Toxin Induced Growth Arrest in Salmonella. ACS Chemical Biology 18, 2485-2494 (2023).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10" w:history="1">
        <w:r w:rsidRPr="00535B7A">
          <w:rPr>
            <w:rStyle w:val="Hyperlink"/>
            <w:rFonts w:ascii="Arial" w:hAnsi="Arial" w:cs="Arial"/>
            <w:sz w:val="20"/>
            <w:szCs w:val="20"/>
          </w:rPr>
          <w:t>10.1021/acschembio.3c00411</w:t>
        </w:r>
      </w:hyperlink>
    </w:p>
    <w:p w14:paraId="7975EA87" w14:textId="09E8BEC8" w:rsidR="008115B6" w:rsidRPr="00535B7A" w:rsidRDefault="008115B6" w:rsidP="008115B6">
      <w:pPr>
        <w:rPr>
          <w:rFonts w:ascii="Arial" w:hAnsi="Arial" w:cs="Arial"/>
          <w:sz w:val="20"/>
          <w:szCs w:val="20"/>
        </w:rPr>
      </w:pPr>
      <w:r w:rsidRPr="00535B7A">
        <w:rPr>
          <w:rFonts w:ascii="Arial" w:hAnsi="Arial" w:cs="Arial"/>
          <w:sz w:val="20"/>
          <w:szCs w:val="20"/>
        </w:rPr>
        <w:t>6</w:t>
      </w:r>
      <w:r w:rsidR="00535B7A">
        <w:rPr>
          <w:rFonts w:ascii="Arial" w:hAnsi="Arial" w:cs="Arial"/>
          <w:sz w:val="20"/>
          <w:szCs w:val="20"/>
        </w:rPr>
        <w:t>.</w:t>
      </w:r>
      <w:r w:rsidRPr="00535B7A">
        <w:rPr>
          <w:rFonts w:ascii="Arial" w:hAnsi="Arial" w:cs="Arial"/>
          <w:sz w:val="20"/>
          <w:szCs w:val="20"/>
        </w:rPr>
        <w:t xml:space="preserve"> Crozier L et al. CDK4/6 inhibitor-mediated cell overgrowth triggers osmotic and replication stress to promote senescence. Molecular Cell 83, 4062-4077.e5 (2023). </w:t>
      </w:r>
      <w:proofErr w:type="spellStart"/>
      <w:r w:rsidRPr="00535B7A">
        <w:rPr>
          <w:rFonts w:ascii="Arial" w:hAnsi="Arial" w:cs="Arial"/>
          <w:sz w:val="20"/>
          <w:szCs w:val="20"/>
        </w:rPr>
        <w:t>doi</w:t>
      </w:r>
      <w:proofErr w:type="spellEnd"/>
      <w:r w:rsidRPr="00535B7A">
        <w:rPr>
          <w:rFonts w:ascii="Arial" w:hAnsi="Arial" w:cs="Arial"/>
          <w:sz w:val="20"/>
          <w:szCs w:val="20"/>
        </w:rPr>
        <w:t xml:space="preserve">: </w:t>
      </w:r>
      <w:hyperlink r:id="rId11" w:history="1">
        <w:r w:rsidRPr="00535B7A">
          <w:rPr>
            <w:rStyle w:val="Hyperlink"/>
            <w:rFonts w:ascii="Arial" w:hAnsi="Arial" w:cs="Arial"/>
            <w:sz w:val="20"/>
            <w:szCs w:val="20"/>
          </w:rPr>
          <w:t>10.1016/j.molcel.2023.10.016</w:t>
        </w:r>
      </w:hyperlink>
    </w:p>
    <w:p w14:paraId="4B442094" w14:textId="77777777" w:rsidR="008115B6" w:rsidRDefault="008115B6" w:rsidP="00AC4742"/>
    <w:p w14:paraId="0D57A789" w14:textId="77777777" w:rsidR="00AC4742" w:rsidRPr="00F06E34" w:rsidRDefault="00AC4742" w:rsidP="00AC4742">
      <w:pPr>
        <w:jc w:val="both"/>
        <w:rPr>
          <w:rFonts w:cs="Arial"/>
          <w:b/>
          <w:bCs/>
        </w:rPr>
      </w:pPr>
    </w:p>
    <w:p w14:paraId="433A53E7" w14:textId="77777777" w:rsidR="00CE1886" w:rsidRPr="00F06E34" w:rsidRDefault="00CE1886" w:rsidP="00A91041">
      <w:pPr>
        <w:jc w:val="both"/>
        <w:rPr>
          <w:rFonts w:ascii="Arial" w:hAnsi="Arial" w:cs="Arial"/>
          <w:b/>
          <w:bCs/>
        </w:rPr>
      </w:pPr>
    </w:p>
    <w:p w14:paraId="3525FAC4" w14:textId="6519C5BE" w:rsidR="0018588F" w:rsidRPr="00F06E34" w:rsidRDefault="00CE1886" w:rsidP="00CE1886">
      <w:pPr>
        <w:rPr>
          <w:rFonts w:ascii="Arial" w:hAnsi="Arial" w:cs="Arial"/>
          <w:b/>
          <w:bCs/>
        </w:rPr>
      </w:pPr>
      <w:r w:rsidRPr="00F06E34">
        <w:rPr>
          <w:rFonts w:ascii="Arial" w:hAnsi="Arial" w:cs="Arial"/>
          <w:b/>
          <w:bCs/>
        </w:rPr>
        <w:fldChar w:fldCharType="begin"/>
      </w:r>
      <w:r w:rsidRPr="00F06E34">
        <w:rPr>
          <w:rFonts w:ascii="Arial" w:hAnsi="Arial" w:cs="Arial"/>
          <w:b/>
          <w:bCs/>
        </w:rPr>
        <w:instrText xml:space="preserve"> ADDIN EN.REFLIST </w:instrText>
      </w:r>
      <w:r w:rsidRPr="00F06E34">
        <w:rPr>
          <w:rFonts w:ascii="Arial" w:hAnsi="Arial" w:cs="Arial"/>
          <w:b/>
          <w:bCs/>
        </w:rPr>
        <w:fldChar w:fldCharType="end"/>
      </w:r>
    </w:p>
    <w:sectPr w:rsidR="0018588F" w:rsidRPr="00F06E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93126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63624"/>
    <w:rsid w:val="00084F80"/>
    <w:rsid w:val="000A0EB8"/>
    <w:rsid w:val="000D414B"/>
    <w:rsid w:val="000F58DD"/>
    <w:rsid w:val="00123A09"/>
    <w:rsid w:val="00171D22"/>
    <w:rsid w:val="001737C7"/>
    <w:rsid w:val="00173D32"/>
    <w:rsid w:val="0018588F"/>
    <w:rsid w:val="001A1C1B"/>
    <w:rsid w:val="001B115D"/>
    <w:rsid w:val="001C4739"/>
    <w:rsid w:val="001D0676"/>
    <w:rsid w:val="00213CC1"/>
    <w:rsid w:val="00224EEF"/>
    <w:rsid w:val="0027399F"/>
    <w:rsid w:val="002760A6"/>
    <w:rsid w:val="002B3E7C"/>
    <w:rsid w:val="002C63D6"/>
    <w:rsid w:val="002E10E7"/>
    <w:rsid w:val="0035714D"/>
    <w:rsid w:val="003701AE"/>
    <w:rsid w:val="003A22E7"/>
    <w:rsid w:val="003B16FF"/>
    <w:rsid w:val="003E7684"/>
    <w:rsid w:val="00415DC4"/>
    <w:rsid w:val="00421769"/>
    <w:rsid w:val="00437DCA"/>
    <w:rsid w:val="00442405"/>
    <w:rsid w:val="00453033"/>
    <w:rsid w:val="004B7E0C"/>
    <w:rsid w:val="004C594F"/>
    <w:rsid w:val="005145AE"/>
    <w:rsid w:val="00535B7A"/>
    <w:rsid w:val="00541EB6"/>
    <w:rsid w:val="00562F76"/>
    <w:rsid w:val="005A4874"/>
    <w:rsid w:val="005D14ED"/>
    <w:rsid w:val="005D5D31"/>
    <w:rsid w:val="00605BEB"/>
    <w:rsid w:val="00622A07"/>
    <w:rsid w:val="006240B2"/>
    <w:rsid w:val="0065430A"/>
    <w:rsid w:val="0067745D"/>
    <w:rsid w:val="00683A37"/>
    <w:rsid w:val="006F486E"/>
    <w:rsid w:val="007522F9"/>
    <w:rsid w:val="00752A16"/>
    <w:rsid w:val="0076090A"/>
    <w:rsid w:val="007C4941"/>
    <w:rsid w:val="007D2E61"/>
    <w:rsid w:val="007F6F29"/>
    <w:rsid w:val="008115B6"/>
    <w:rsid w:val="00811D90"/>
    <w:rsid w:val="00836D44"/>
    <w:rsid w:val="00881157"/>
    <w:rsid w:val="008B1FF5"/>
    <w:rsid w:val="008B6F09"/>
    <w:rsid w:val="00906033"/>
    <w:rsid w:val="00913663"/>
    <w:rsid w:val="0093009F"/>
    <w:rsid w:val="00950B41"/>
    <w:rsid w:val="009671F0"/>
    <w:rsid w:val="009708F5"/>
    <w:rsid w:val="00972D1B"/>
    <w:rsid w:val="009747A4"/>
    <w:rsid w:val="00982788"/>
    <w:rsid w:val="009A410D"/>
    <w:rsid w:val="009A707F"/>
    <w:rsid w:val="009D2928"/>
    <w:rsid w:val="00A03EA0"/>
    <w:rsid w:val="00A17E1F"/>
    <w:rsid w:val="00A2374E"/>
    <w:rsid w:val="00A35AA8"/>
    <w:rsid w:val="00A52D9D"/>
    <w:rsid w:val="00A900D2"/>
    <w:rsid w:val="00A91041"/>
    <w:rsid w:val="00AA4A8A"/>
    <w:rsid w:val="00AB39E7"/>
    <w:rsid w:val="00AC4742"/>
    <w:rsid w:val="00AF4741"/>
    <w:rsid w:val="00B17A09"/>
    <w:rsid w:val="00B31485"/>
    <w:rsid w:val="00B40D4C"/>
    <w:rsid w:val="00B44D83"/>
    <w:rsid w:val="00B54B00"/>
    <w:rsid w:val="00B5606C"/>
    <w:rsid w:val="00C00AC1"/>
    <w:rsid w:val="00C2650B"/>
    <w:rsid w:val="00C27874"/>
    <w:rsid w:val="00C3745B"/>
    <w:rsid w:val="00C570E5"/>
    <w:rsid w:val="00C862B0"/>
    <w:rsid w:val="00CE1886"/>
    <w:rsid w:val="00CE30F9"/>
    <w:rsid w:val="00CF45F1"/>
    <w:rsid w:val="00CF65D1"/>
    <w:rsid w:val="00D07FED"/>
    <w:rsid w:val="00D103C1"/>
    <w:rsid w:val="00D32248"/>
    <w:rsid w:val="00D3515B"/>
    <w:rsid w:val="00D5457F"/>
    <w:rsid w:val="00D61325"/>
    <w:rsid w:val="00D65661"/>
    <w:rsid w:val="00D93E6C"/>
    <w:rsid w:val="00D9573F"/>
    <w:rsid w:val="00D97C5E"/>
    <w:rsid w:val="00DA2926"/>
    <w:rsid w:val="00DE48C0"/>
    <w:rsid w:val="00E07D44"/>
    <w:rsid w:val="00E1423A"/>
    <w:rsid w:val="00E36D84"/>
    <w:rsid w:val="00E46825"/>
    <w:rsid w:val="00E56164"/>
    <w:rsid w:val="00EC74BA"/>
    <w:rsid w:val="00F06E34"/>
    <w:rsid w:val="00F421C7"/>
    <w:rsid w:val="00F764FE"/>
    <w:rsid w:val="00FA3C1F"/>
    <w:rsid w:val="00FB0C43"/>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B338"/>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CommentReference">
    <w:name w:val="annotation reference"/>
    <w:basedOn w:val="DefaultParagraphFont"/>
    <w:uiPriority w:val="99"/>
    <w:semiHidden/>
    <w:unhideWhenUsed/>
    <w:rsid w:val="00AC4742"/>
    <w:rPr>
      <w:sz w:val="16"/>
      <w:szCs w:val="16"/>
    </w:rPr>
  </w:style>
  <w:style w:type="paragraph" w:styleId="CommentText">
    <w:name w:val="annotation text"/>
    <w:basedOn w:val="Normal"/>
    <w:link w:val="CommentTextChar"/>
    <w:uiPriority w:val="99"/>
    <w:semiHidden/>
    <w:unhideWhenUsed/>
    <w:rsid w:val="00AC4742"/>
    <w:pPr>
      <w:spacing w:line="240" w:lineRule="auto"/>
    </w:pPr>
    <w:rPr>
      <w:sz w:val="20"/>
      <w:szCs w:val="20"/>
    </w:rPr>
  </w:style>
  <w:style w:type="character" w:customStyle="1" w:styleId="CommentTextChar">
    <w:name w:val="Comment Text Char"/>
    <w:basedOn w:val="DefaultParagraphFont"/>
    <w:link w:val="CommentText"/>
    <w:uiPriority w:val="99"/>
    <w:semiHidden/>
    <w:rsid w:val="00AC4742"/>
    <w:rPr>
      <w:sz w:val="20"/>
      <w:szCs w:val="20"/>
    </w:rPr>
  </w:style>
  <w:style w:type="paragraph" w:styleId="CommentSubject">
    <w:name w:val="annotation subject"/>
    <w:basedOn w:val="CommentText"/>
    <w:next w:val="CommentText"/>
    <w:link w:val="CommentSubjectChar"/>
    <w:uiPriority w:val="99"/>
    <w:semiHidden/>
    <w:unhideWhenUsed/>
    <w:rsid w:val="00AC4742"/>
    <w:rPr>
      <w:b/>
      <w:bCs/>
    </w:rPr>
  </w:style>
  <w:style w:type="character" w:customStyle="1" w:styleId="CommentSubjectChar">
    <w:name w:val="Comment Subject Char"/>
    <w:basedOn w:val="CommentTextChar"/>
    <w:link w:val="CommentSubject"/>
    <w:uiPriority w:val="99"/>
    <w:semiHidden/>
    <w:rsid w:val="00AC4742"/>
    <w:rPr>
      <w:b/>
      <w:bCs/>
      <w:sz w:val="20"/>
      <w:szCs w:val="20"/>
    </w:rPr>
  </w:style>
  <w:style w:type="character" w:styleId="UnresolvedMention">
    <w:name w:val="Unresolved Mention"/>
    <w:basedOn w:val="DefaultParagraphFont"/>
    <w:uiPriority w:val="99"/>
    <w:semiHidden/>
    <w:unhideWhenUsed/>
    <w:rsid w:val="00811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158269">
      <w:bodyDiv w:val="1"/>
      <w:marLeft w:val="0"/>
      <w:marRight w:val="0"/>
      <w:marTop w:val="0"/>
      <w:marBottom w:val="0"/>
      <w:divBdr>
        <w:top w:val="none" w:sz="0" w:space="0" w:color="auto"/>
        <w:left w:val="none" w:sz="0" w:space="0" w:color="auto"/>
        <w:bottom w:val="none" w:sz="0" w:space="0" w:color="auto"/>
        <w:right w:val="none" w:sz="0" w:space="0" w:color="auto"/>
      </w:divBdr>
    </w:div>
    <w:div w:id="1053499298">
      <w:bodyDiv w:val="1"/>
      <w:marLeft w:val="0"/>
      <w:marRight w:val="0"/>
      <w:marTop w:val="0"/>
      <w:marBottom w:val="0"/>
      <w:divBdr>
        <w:top w:val="none" w:sz="0" w:space="0" w:color="auto"/>
        <w:left w:val="none" w:sz="0" w:space="0" w:color="auto"/>
        <w:bottom w:val="none" w:sz="0" w:space="0" w:color="auto"/>
        <w:right w:val="none" w:sz="0" w:space="0" w:color="auto"/>
      </w:divBdr>
    </w:div>
    <w:div w:id="1360161304">
      <w:bodyDiv w:val="1"/>
      <w:marLeft w:val="0"/>
      <w:marRight w:val="0"/>
      <w:marTop w:val="0"/>
      <w:marBottom w:val="0"/>
      <w:divBdr>
        <w:top w:val="none" w:sz="0" w:space="0" w:color="auto"/>
        <w:left w:val="none" w:sz="0" w:space="0" w:color="auto"/>
        <w:bottom w:val="none" w:sz="0" w:space="0" w:color="auto"/>
        <w:right w:val="none" w:sz="0" w:space="0" w:color="auto"/>
      </w:divBdr>
    </w:div>
    <w:div w:id="1546864774">
      <w:bodyDiv w:val="1"/>
      <w:marLeft w:val="0"/>
      <w:marRight w:val="0"/>
      <w:marTop w:val="0"/>
      <w:marBottom w:val="0"/>
      <w:divBdr>
        <w:top w:val="none" w:sz="0" w:space="0" w:color="auto"/>
        <w:left w:val="none" w:sz="0" w:space="0" w:color="auto"/>
        <w:bottom w:val="none" w:sz="0" w:space="0" w:color="auto"/>
        <w:right w:val="none" w:sz="0" w:space="0" w:color="auto"/>
      </w:divBdr>
    </w:div>
    <w:div w:id="183286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467-024-55772-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146/annurev-genet-032918-021921"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38/s41467-025-67073-0" TargetMode="External"/><Relationship Id="rId11" Type="http://schemas.openxmlformats.org/officeDocument/2006/relationships/hyperlink" Target="https://doi.org/10.1016/j.molcel.2023.10.016" TargetMode="External"/><Relationship Id="rId5" Type="http://schemas.openxmlformats.org/officeDocument/2006/relationships/webSettings" Target="webSettings.xml"/><Relationship Id="rId10" Type="http://schemas.openxmlformats.org/officeDocument/2006/relationships/hyperlink" Target="https://doi.org/10.1021/acschembio.3c00411" TargetMode="External"/><Relationship Id="rId4" Type="http://schemas.openxmlformats.org/officeDocument/2006/relationships/settings" Target="settings.xml"/><Relationship Id="rId9" Type="http://schemas.openxmlformats.org/officeDocument/2006/relationships/hyperlink" Target="https://doi.org/10.1126/science.11518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B33F9-DAD7-4061-8023-81CE0BC39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2026-10-06T15:09:00Z</dcterms:created>
  <dcterms:modified xsi:type="dcterms:W3CDTF">2026-10-06T15:09:00Z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23fa063b0127cb8eb8fc8da05fe8ca42489ecee1816a2a3d90d009b9ce2abdf1</vt:lpwstr>
  </property>
</Properties>
</file>